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C16" w:rsidRPr="00C37C16" w:rsidRDefault="00C37C16" w:rsidP="00C37C16">
      <w:pPr>
        <w:pStyle w:val="Heading1"/>
        <w:jc w:val="center"/>
      </w:pPr>
      <w:r>
        <w:fldChar w:fldCharType="begin"/>
      </w:r>
      <w:r>
        <w:instrText xml:space="preserve"> HYPERLINK "https://www.facultyfocus.com/articles/academic-leadership/proactive-microresistance-in-a-microaggressive-world/?st=FFWeekly;sc=FFWeekly210414;utm_term=FFWeekly210414&amp;utm_source=ActiveCampaign&amp;utm_medium=email&amp;utm_content=Proactive+Microresistance+in+a+Microaggressive+World&amp;utm_campaign=FF210414" </w:instrText>
      </w:r>
      <w:r>
        <w:fldChar w:fldCharType="separate"/>
      </w:r>
      <w:r w:rsidRPr="00C37C16">
        <w:rPr>
          <w:rStyle w:val="Hyperlink"/>
        </w:rPr>
        <w:t xml:space="preserve">Proactive </w:t>
      </w:r>
      <w:proofErr w:type="spellStart"/>
      <w:r w:rsidRPr="00C37C16">
        <w:rPr>
          <w:rStyle w:val="Hyperlink"/>
        </w:rPr>
        <w:t>Microresistance</w:t>
      </w:r>
      <w:proofErr w:type="spellEnd"/>
      <w:r w:rsidRPr="00C37C16">
        <w:rPr>
          <w:rStyle w:val="Hyperlink"/>
        </w:rPr>
        <w:t xml:space="preserve"> in a </w:t>
      </w:r>
      <w:proofErr w:type="spellStart"/>
      <w:r w:rsidRPr="00C37C16">
        <w:rPr>
          <w:rStyle w:val="Hyperlink"/>
        </w:rPr>
        <w:t>Microaggressive</w:t>
      </w:r>
      <w:proofErr w:type="spellEnd"/>
      <w:r w:rsidRPr="00C37C16">
        <w:rPr>
          <w:rStyle w:val="Hyperlink"/>
        </w:rPr>
        <w:t xml:space="preserve"> World</w:t>
      </w:r>
      <w:r>
        <w:fldChar w:fldCharType="end"/>
      </w:r>
    </w:p>
    <w:p w:rsidR="00C37C16" w:rsidRPr="00C37C16" w:rsidRDefault="00C37C16" w:rsidP="00C37C16">
      <w:pPr>
        <w:shd w:val="clear" w:color="auto" w:fill="FFFFFF"/>
        <w:spacing w:beforeAutospacing="1" w:after="0" w:afterAutospacing="1" w:line="240" w:lineRule="auto"/>
        <w:ind w:left="720"/>
        <w:textAlignment w:val="baseline"/>
        <w:rPr>
          <w:rFonts w:ascii="Alegreya Sans" w:eastAsia="Times New Roman" w:hAnsi="Alegreya Sans" w:cs="Times New Roman"/>
          <w:b/>
          <w:bCs/>
          <w:spacing w:val="6"/>
          <w:sz w:val="21"/>
          <w:szCs w:val="21"/>
        </w:rPr>
      </w:pPr>
      <w:r w:rsidRPr="00C37C16">
        <w:rPr>
          <w:rFonts w:ascii="inherit" w:eastAsia="Times New Roman" w:hAnsi="inherit" w:cs="Times New Roman"/>
          <w:b/>
          <w:bCs/>
          <w:spacing w:val="6"/>
          <w:sz w:val="21"/>
          <w:szCs w:val="21"/>
          <w:bdr w:val="none" w:sz="0" w:space="0" w:color="auto" w:frame="1"/>
        </w:rPr>
        <w:t>April 14, 2021</w:t>
      </w:r>
      <w:r>
        <w:rPr>
          <w:rFonts w:ascii="Alegreya Sans" w:eastAsia="Times New Roman" w:hAnsi="Alegreya Sans" w:cs="Times New Roman"/>
          <w:b/>
          <w:bCs/>
          <w:spacing w:val="6"/>
          <w:sz w:val="21"/>
          <w:szCs w:val="21"/>
        </w:rPr>
        <w:t xml:space="preserve"> </w:t>
      </w:r>
      <w:hyperlink r:id="rId5" w:history="1">
        <w:r w:rsidRPr="00C37C16">
          <w:rPr>
            <w:rFonts w:ascii="inherit" w:eastAsia="Times New Roman" w:hAnsi="inherit" w:cs="Times New Roman"/>
            <w:b/>
            <w:bCs/>
            <w:spacing w:val="6"/>
            <w:sz w:val="21"/>
            <w:szCs w:val="21"/>
            <w:bdr w:val="none" w:sz="0" w:space="0" w:color="auto" w:frame="1"/>
          </w:rPr>
          <w:t xml:space="preserve">Floyd Cheung, Cynthia </w:t>
        </w:r>
        <w:proofErr w:type="spellStart"/>
        <w:r w:rsidRPr="00C37C16">
          <w:rPr>
            <w:rFonts w:ascii="inherit" w:eastAsia="Times New Roman" w:hAnsi="inherit" w:cs="Times New Roman"/>
            <w:b/>
            <w:bCs/>
            <w:spacing w:val="6"/>
            <w:sz w:val="21"/>
            <w:szCs w:val="21"/>
            <w:bdr w:val="none" w:sz="0" w:space="0" w:color="auto" w:frame="1"/>
          </w:rPr>
          <w:t>Ganote</w:t>
        </w:r>
        <w:proofErr w:type="spellEnd"/>
        <w:r w:rsidRPr="00C37C16">
          <w:rPr>
            <w:rFonts w:ascii="inherit" w:eastAsia="Times New Roman" w:hAnsi="inherit" w:cs="Times New Roman"/>
            <w:b/>
            <w:bCs/>
            <w:spacing w:val="6"/>
            <w:sz w:val="21"/>
            <w:szCs w:val="21"/>
            <w:bdr w:val="none" w:sz="0" w:space="0" w:color="auto" w:frame="1"/>
          </w:rPr>
          <w:t>, and Tasha Souza</w:t>
        </w:r>
      </w:hyperlink>
    </w:p>
    <w:p w:rsidR="00C37C16" w:rsidRPr="00C37C16" w:rsidRDefault="00C37C16" w:rsidP="00C37C16">
      <w:pPr>
        <w:shd w:val="clear" w:color="auto" w:fill="FFFFFF"/>
        <w:spacing w:line="240" w:lineRule="auto"/>
        <w:jc w:val="center"/>
        <w:textAlignment w:val="baseline"/>
        <w:rPr>
          <w:rFonts w:ascii="inherit" w:eastAsia="Times New Roman" w:hAnsi="inherit" w:cs="Times New Roman"/>
          <w:color w:val="000000"/>
          <w:spacing w:val="6"/>
          <w:sz w:val="24"/>
          <w:szCs w:val="24"/>
        </w:rPr>
      </w:pPr>
      <w:r w:rsidRPr="00C37C16">
        <w:rPr>
          <w:rFonts w:ascii="inherit" w:eastAsia="Times New Roman" w:hAnsi="inherit" w:cs="Times New Roman"/>
          <w:noProof/>
          <w:color w:val="000000"/>
          <w:spacing w:val="6"/>
          <w:sz w:val="24"/>
          <w:szCs w:val="24"/>
        </w:rPr>
        <w:drawing>
          <wp:inline distT="0" distB="0" distL="0" distR="0">
            <wp:extent cx="3495675" cy="1857077"/>
            <wp:effectExtent l="0" t="0" r="0" b="0"/>
            <wp:docPr id="1" name="Picture 1" descr="Colored strings bond together to form heart and conn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ed strings bond together to form heart and connec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7222" cy="1863211"/>
                    </a:xfrm>
                    <a:prstGeom prst="rect">
                      <a:avLst/>
                    </a:prstGeom>
                    <a:noFill/>
                    <a:ln>
                      <a:noFill/>
                    </a:ln>
                  </pic:spPr>
                </pic:pic>
              </a:graphicData>
            </a:graphic>
          </wp:inline>
        </w:drawing>
      </w:r>
    </w:p>
    <w:p w:rsidR="00A11CA7" w:rsidRDefault="00A11CA7" w:rsidP="00C37C16">
      <w:pPr>
        <w:shd w:val="clear" w:color="auto" w:fill="FFFFFF"/>
        <w:spacing w:after="0" w:line="240" w:lineRule="auto"/>
        <w:textAlignment w:val="baseline"/>
        <w:rPr>
          <w:rFonts w:ascii="inherit" w:eastAsia="Times New Roman" w:hAnsi="inherit" w:cs="Times New Roman"/>
          <w:color w:val="000000"/>
          <w:spacing w:val="6"/>
          <w:sz w:val="24"/>
          <w:szCs w:val="24"/>
        </w:rPr>
      </w:pPr>
    </w:p>
    <w:p w:rsidR="00C37C16" w:rsidRPr="00C37C16" w:rsidRDefault="00C37C16" w:rsidP="00C37C16">
      <w:pPr>
        <w:shd w:val="clear" w:color="auto" w:fill="FFFFFF"/>
        <w:spacing w:after="0" w:line="240" w:lineRule="auto"/>
        <w:textAlignment w:val="baseline"/>
        <w:rPr>
          <w:rFonts w:ascii="inherit" w:eastAsia="Times New Roman" w:hAnsi="inherit" w:cs="Times New Roman"/>
          <w:color w:val="000000"/>
          <w:spacing w:val="6"/>
          <w:sz w:val="24"/>
          <w:szCs w:val="24"/>
        </w:rPr>
      </w:pPr>
      <w:bookmarkStart w:id="0" w:name="_GoBack"/>
      <w:bookmarkEnd w:id="0"/>
      <w:proofErr w:type="spellStart"/>
      <w:r w:rsidRPr="00C37C16">
        <w:rPr>
          <w:rFonts w:ascii="inherit" w:eastAsia="Times New Roman" w:hAnsi="inherit" w:cs="Times New Roman"/>
          <w:color w:val="000000"/>
          <w:spacing w:val="6"/>
          <w:sz w:val="24"/>
          <w:szCs w:val="24"/>
        </w:rPr>
        <w:t>Microresistance</w:t>
      </w:r>
      <w:proofErr w:type="spellEnd"/>
      <w:r w:rsidRPr="00C37C16">
        <w:rPr>
          <w:rFonts w:ascii="inherit" w:eastAsia="Times New Roman" w:hAnsi="inherit" w:cs="Times New Roman"/>
          <w:color w:val="000000"/>
          <w:spacing w:val="6"/>
          <w:sz w:val="24"/>
          <w:szCs w:val="24"/>
        </w:rPr>
        <w:t xml:space="preserve"> is the umbrella term for small-scale individual or collaborative efforts that empower targeted people and allies to cope with, respond to, and/or challenge </w:t>
      </w:r>
      <w:proofErr w:type="spellStart"/>
      <w:r w:rsidRPr="00C37C16">
        <w:rPr>
          <w:rFonts w:ascii="inherit" w:eastAsia="Times New Roman" w:hAnsi="inherit" w:cs="Times New Roman"/>
          <w:color w:val="000000"/>
          <w:spacing w:val="6"/>
          <w:sz w:val="24"/>
          <w:szCs w:val="24"/>
        </w:rPr>
        <w:t>microaggressions</w:t>
      </w:r>
      <w:proofErr w:type="spellEnd"/>
      <w:r w:rsidRPr="00C37C16">
        <w:rPr>
          <w:rFonts w:ascii="inherit" w:eastAsia="Times New Roman" w:hAnsi="inherit" w:cs="Times New Roman"/>
          <w:color w:val="000000"/>
          <w:spacing w:val="6"/>
          <w:sz w:val="24"/>
          <w:szCs w:val="24"/>
        </w:rPr>
        <w:t xml:space="preserve"> with a goal of disrupting systems of oppression as they unfold in everyday life, thereby creating more inclusive institutions. Of course, </w:t>
      </w:r>
      <w:proofErr w:type="spellStart"/>
      <w:r w:rsidRPr="00C37C16">
        <w:rPr>
          <w:rFonts w:ascii="inherit" w:eastAsia="Times New Roman" w:hAnsi="inherit" w:cs="Times New Roman"/>
          <w:color w:val="000000"/>
          <w:spacing w:val="6"/>
          <w:sz w:val="24"/>
          <w:szCs w:val="24"/>
        </w:rPr>
        <w:t>macroresistance</w:t>
      </w:r>
      <w:proofErr w:type="spellEnd"/>
      <w:r w:rsidRPr="00C37C16">
        <w:rPr>
          <w:rFonts w:ascii="inherit" w:eastAsia="Times New Roman" w:hAnsi="inherit" w:cs="Times New Roman"/>
          <w:color w:val="000000"/>
          <w:spacing w:val="6"/>
          <w:sz w:val="24"/>
          <w:szCs w:val="24"/>
        </w:rPr>
        <w:t xml:space="preserve"> is called for sometimes, but as </w:t>
      </w:r>
      <w:hyperlink r:id="rId7" w:history="1">
        <w:r w:rsidRPr="00C37C16">
          <w:rPr>
            <w:rFonts w:ascii="inherit" w:eastAsia="Times New Roman" w:hAnsi="inherit" w:cs="Times New Roman"/>
            <w:b/>
            <w:color w:val="018DC2"/>
            <w:spacing w:val="6"/>
            <w:sz w:val="24"/>
            <w:szCs w:val="24"/>
            <w:bdr w:val="none" w:sz="0" w:space="0" w:color="auto" w:frame="1"/>
          </w:rPr>
          <w:t>Desmond Tutu</w:t>
        </w:r>
      </w:hyperlink>
      <w:r w:rsidRPr="00C37C16">
        <w:rPr>
          <w:rFonts w:ascii="inherit" w:eastAsia="Times New Roman" w:hAnsi="inherit" w:cs="Times New Roman"/>
          <w:color w:val="000000"/>
          <w:spacing w:val="6"/>
          <w:sz w:val="24"/>
          <w:szCs w:val="24"/>
        </w:rPr>
        <w:t> reminds us, “Do your little bit of good where you are; it’s those little bits of good put together that overwhelm the world.”</w:t>
      </w:r>
    </w:p>
    <w:p w:rsidR="00C37C16" w:rsidRPr="00C37C16" w:rsidRDefault="00C37C16" w:rsidP="00C37C16">
      <w:pPr>
        <w:shd w:val="clear" w:color="auto" w:fill="FFFFFF"/>
        <w:spacing w:after="0" w:line="240" w:lineRule="auto"/>
        <w:textAlignment w:val="baseline"/>
        <w:rPr>
          <w:rFonts w:ascii="inherit" w:eastAsia="Times New Roman" w:hAnsi="inherit" w:cs="Times New Roman"/>
          <w:color w:val="000000"/>
          <w:spacing w:val="6"/>
          <w:sz w:val="24"/>
          <w:szCs w:val="24"/>
        </w:rPr>
      </w:pPr>
      <w:hyperlink r:id="rId8" w:tgtFrame="_blank" w:history="1">
        <w:r w:rsidRPr="00C37C16">
          <w:rPr>
            <w:rFonts w:ascii="inherit" w:eastAsia="Times New Roman" w:hAnsi="inherit" w:cs="Times New Roman"/>
            <w:b/>
            <w:color w:val="018DC2"/>
            <w:spacing w:val="6"/>
            <w:sz w:val="24"/>
            <w:szCs w:val="24"/>
            <w:bdr w:val="none" w:sz="0" w:space="0" w:color="auto" w:frame="1"/>
          </w:rPr>
          <w:t xml:space="preserve">In our earlier article on </w:t>
        </w:r>
        <w:proofErr w:type="spellStart"/>
        <w:r w:rsidRPr="00C37C16">
          <w:rPr>
            <w:rFonts w:ascii="inherit" w:eastAsia="Times New Roman" w:hAnsi="inherit" w:cs="Times New Roman"/>
            <w:b/>
            <w:color w:val="018DC2"/>
            <w:spacing w:val="6"/>
            <w:sz w:val="24"/>
            <w:szCs w:val="24"/>
            <w:bdr w:val="none" w:sz="0" w:space="0" w:color="auto" w:frame="1"/>
          </w:rPr>
          <w:t>microresistance</w:t>
        </w:r>
        <w:proofErr w:type="spellEnd"/>
      </w:hyperlink>
      <w:r w:rsidRPr="00C37C16">
        <w:rPr>
          <w:rFonts w:ascii="inherit" w:eastAsia="Times New Roman" w:hAnsi="inherit" w:cs="Times New Roman"/>
          <w:color w:val="000000"/>
          <w:spacing w:val="6"/>
          <w:sz w:val="24"/>
          <w:szCs w:val="24"/>
        </w:rPr>
        <w:t xml:space="preserve">, we focused on how to react when a </w:t>
      </w:r>
      <w:proofErr w:type="spellStart"/>
      <w:r w:rsidRPr="00C37C16">
        <w:rPr>
          <w:rFonts w:ascii="inherit" w:eastAsia="Times New Roman" w:hAnsi="inherit" w:cs="Times New Roman"/>
          <w:color w:val="000000"/>
          <w:spacing w:val="6"/>
          <w:sz w:val="24"/>
          <w:szCs w:val="24"/>
        </w:rPr>
        <w:t>microaggression</w:t>
      </w:r>
      <w:proofErr w:type="spellEnd"/>
      <w:r w:rsidRPr="00C37C16">
        <w:rPr>
          <w:rFonts w:ascii="inherit" w:eastAsia="Times New Roman" w:hAnsi="inherit" w:cs="Times New Roman"/>
          <w:color w:val="000000"/>
          <w:spacing w:val="6"/>
          <w:sz w:val="24"/>
          <w:szCs w:val="24"/>
        </w:rPr>
        <w:t xml:space="preserve"> happens. Now, we turn to describing proactive forms of </w:t>
      </w:r>
      <w:proofErr w:type="spellStart"/>
      <w:r w:rsidRPr="00C37C16">
        <w:rPr>
          <w:rFonts w:ascii="inherit" w:eastAsia="Times New Roman" w:hAnsi="inherit" w:cs="Times New Roman"/>
          <w:color w:val="000000"/>
          <w:spacing w:val="6"/>
          <w:sz w:val="24"/>
          <w:szCs w:val="24"/>
        </w:rPr>
        <w:t>microresistance</w:t>
      </w:r>
      <w:proofErr w:type="spellEnd"/>
      <w:r w:rsidRPr="00C37C16">
        <w:rPr>
          <w:rFonts w:ascii="inherit" w:eastAsia="Times New Roman" w:hAnsi="inherit" w:cs="Times New Roman"/>
          <w:color w:val="000000"/>
          <w:spacing w:val="6"/>
          <w:sz w:val="24"/>
          <w:szCs w:val="24"/>
        </w:rPr>
        <w:t xml:space="preserve"> that can increase our capacity for response when needed and can even foster a kinder, less </w:t>
      </w:r>
      <w:proofErr w:type="spellStart"/>
      <w:r w:rsidRPr="00C37C16">
        <w:rPr>
          <w:rFonts w:ascii="inherit" w:eastAsia="Times New Roman" w:hAnsi="inherit" w:cs="Times New Roman"/>
          <w:color w:val="000000"/>
          <w:spacing w:val="6"/>
          <w:sz w:val="24"/>
          <w:szCs w:val="24"/>
        </w:rPr>
        <w:t>microaggressive</w:t>
      </w:r>
      <w:proofErr w:type="spellEnd"/>
      <w:r w:rsidRPr="00C37C16">
        <w:rPr>
          <w:rFonts w:ascii="inherit" w:eastAsia="Times New Roman" w:hAnsi="inherit" w:cs="Times New Roman"/>
          <w:color w:val="000000"/>
          <w:spacing w:val="6"/>
          <w:sz w:val="24"/>
          <w:szCs w:val="24"/>
        </w:rPr>
        <w:t xml:space="preserve"> world.</w:t>
      </w:r>
    </w:p>
    <w:p w:rsidR="00C37C16" w:rsidRDefault="00C37C16" w:rsidP="00C37C16">
      <w:pPr>
        <w:shd w:val="clear" w:color="auto" w:fill="FFFFFF"/>
        <w:spacing w:after="300" w:line="240" w:lineRule="auto"/>
        <w:textAlignment w:val="baseline"/>
        <w:rPr>
          <w:rFonts w:ascii="inherit" w:eastAsia="Times New Roman" w:hAnsi="inherit" w:cs="Times New Roman"/>
          <w:color w:val="000000"/>
          <w:spacing w:val="6"/>
          <w:sz w:val="24"/>
          <w:szCs w:val="24"/>
        </w:rPr>
      </w:pPr>
    </w:p>
    <w:p w:rsidR="00C37C16" w:rsidRPr="00C37C16" w:rsidRDefault="00C37C16" w:rsidP="00C37C16">
      <w:pPr>
        <w:shd w:val="clear" w:color="auto" w:fill="FFFFFF"/>
        <w:spacing w:after="300" w:line="240" w:lineRule="auto"/>
        <w:textAlignment w:val="baseline"/>
        <w:rPr>
          <w:rFonts w:ascii="inherit" w:eastAsia="Times New Roman" w:hAnsi="inherit" w:cs="Times New Roman"/>
          <w:color w:val="000000"/>
          <w:spacing w:val="6"/>
          <w:sz w:val="24"/>
          <w:szCs w:val="24"/>
        </w:rPr>
      </w:pPr>
      <w:r w:rsidRPr="00C37C16">
        <w:rPr>
          <w:rFonts w:ascii="inherit" w:eastAsia="Times New Roman" w:hAnsi="inherit" w:cs="Times New Roman"/>
          <w:color w:val="000000"/>
          <w:spacing w:val="6"/>
          <w:sz w:val="24"/>
          <w:szCs w:val="24"/>
        </w:rPr>
        <w:t>We can do this in four main ways:</w:t>
      </w:r>
    </w:p>
    <w:p w:rsidR="00C37C16" w:rsidRPr="00C37C16" w:rsidRDefault="00C37C16" w:rsidP="00C37C16">
      <w:pPr>
        <w:numPr>
          <w:ilvl w:val="0"/>
          <w:numId w:val="2"/>
        </w:numPr>
        <w:shd w:val="clear" w:color="auto" w:fill="FFFFFF"/>
        <w:spacing w:after="0" w:line="240" w:lineRule="auto"/>
        <w:ind w:left="300"/>
        <w:textAlignment w:val="baseline"/>
        <w:rPr>
          <w:rFonts w:ascii="inherit" w:eastAsia="Times New Roman" w:hAnsi="inherit" w:cs="Times New Roman"/>
          <w:color w:val="000000"/>
          <w:spacing w:val="6"/>
          <w:sz w:val="24"/>
          <w:szCs w:val="24"/>
        </w:rPr>
      </w:pPr>
      <w:r w:rsidRPr="00C37C16">
        <w:rPr>
          <w:rFonts w:ascii="inherit" w:eastAsia="Times New Roman" w:hAnsi="inherit" w:cs="Times New Roman"/>
          <w:color w:val="000000"/>
          <w:spacing w:val="6"/>
          <w:sz w:val="24"/>
          <w:szCs w:val="24"/>
        </w:rPr>
        <w:t>shoring up our personal resources by taking care of ourselves,</w:t>
      </w:r>
    </w:p>
    <w:p w:rsidR="00C37C16" w:rsidRPr="00C37C16" w:rsidRDefault="00C37C16" w:rsidP="00C37C16">
      <w:pPr>
        <w:numPr>
          <w:ilvl w:val="0"/>
          <w:numId w:val="2"/>
        </w:numPr>
        <w:shd w:val="clear" w:color="auto" w:fill="FFFFFF"/>
        <w:spacing w:after="0" w:line="240" w:lineRule="auto"/>
        <w:ind w:left="300"/>
        <w:textAlignment w:val="baseline"/>
        <w:rPr>
          <w:rFonts w:ascii="inherit" w:eastAsia="Times New Roman" w:hAnsi="inherit" w:cs="Times New Roman"/>
          <w:color w:val="000000"/>
          <w:spacing w:val="6"/>
          <w:sz w:val="24"/>
          <w:szCs w:val="24"/>
        </w:rPr>
      </w:pPr>
      <w:r w:rsidRPr="00C37C16">
        <w:rPr>
          <w:rFonts w:ascii="inherit" w:eastAsia="Times New Roman" w:hAnsi="inherit" w:cs="Times New Roman"/>
          <w:color w:val="000000"/>
          <w:spacing w:val="6"/>
          <w:sz w:val="24"/>
          <w:szCs w:val="24"/>
        </w:rPr>
        <w:t>controlling our physical environment to the extent that we can in order to create a favorable playing field,</w:t>
      </w:r>
    </w:p>
    <w:p w:rsidR="00C37C16" w:rsidRPr="00C37C16" w:rsidRDefault="00C37C16" w:rsidP="00C37C16">
      <w:pPr>
        <w:numPr>
          <w:ilvl w:val="0"/>
          <w:numId w:val="2"/>
        </w:numPr>
        <w:shd w:val="clear" w:color="auto" w:fill="FFFFFF"/>
        <w:spacing w:after="0" w:line="240" w:lineRule="auto"/>
        <w:ind w:left="300"/>
        <w:textAlignment w:val="baseline"/>
        <w:rPr>
          <w:rFonts w:ascii="inherit" w:eastAsia="Times New Roman" w:hAnsi="inherit" w:cs="Times New Roman"/>
          <w:color w:val="000000"/>
          <w:spacing w:val="6"/>
          <w:sz w:val="24"/>
          <w:szCs w:val="24"/>
        </w:rPr>
      </w:pPr>
      <w:r w:rsidRPr="00C37C16">
        <w:rPr>
          <w:rFonts w:ascii="inherit" w:eastAsia="Times New Roman" w:hAnsi="inherit" w:cs="Times New Roman"/>
          <w:color w:val="000000"/>
          <w:spacing w:val="6"/>
          <w:sz w:val="24"/>
          <w:szCs w:val="24"/>
        </w:rPr>
        <w:t xml:space="preserve">building a network of compatriots who can have one another’s back when </w:t>
      </w:r>
      <w:proofErr w:type="spellStart"/>
      <w:r w:rsidRPr="00C37C16">
        <w:rPr>
          <w:rFonts w:ascii="inherit" w:eastAsia="Times New Roman" w:hAnsi="inherit" w:cs="Times New Roman"/>
          <w:color w:val="000000"/>
          <w:spacing w:val="6"/>
          <w:sz w:val="24"/>
          <w:szCs w:val="24"/>
        </w:rPr>
        <w:t>microaggressions</w:t>
      </w:r>
      <w:proofErr w:type="spellEnd"/>
      <w:r w:rsidRPr="00C37C16">
        <w:rPr>
          <w:rFonts w:ascii="inherit" w:eastAsia="Times New Roman" w:hAnsi="inherit" w:cs="Times New Roman"/>
          <w:color w:val="000000"/>
          <w:spacing w:val="6"/>
          <w:sz w:val="24"/>
          <w:szCs w:val="24"/>
        </w:rPr>
        <w:t xml:space="preserve"> do occur, and</w:t>
      </w:r>
    </w:p>
    <w:p w:rsidR="00C37C16" w:rsidRDefault="00C37C16" w:rsidP="00C37C16">
      <w:pPr>
        <w:numPr>
          <w:ilvl w:val="0"/>
          <w:numId w:val="2"/>
        </w:numPr>
        <w:shd w:val="clear" w:color="auto" w:fill="FFFFFF"/>
        <w:spacing w:after="0" w:line="240" w:lineRule="auto"/>
        <w:ind w:left="300"/>
        <w:textAlignment w:val="baseline"/>
        <w:rPr>
          <w:rFonts w:ascii="inherit" w:eastAsia="Times New Roman" w:hAnsi="inherit" w:cs="Times New Roman"/>
          <w:color w:val="000000"/>
          <w:spacing w:val="6"/>
          <w:sz w:val="24"/>
          <w:szCs w:val="24"/>
        </w:rPr>
      </w:pPr>
      <w:proofErr w:type="gramStart"/>
      <w:r w:rsidRPr="00C37C16">
        <w:rPr>
          <w:rFonts w:ascii="inherit" w:eastAsia="Times New Roman" w:hAnsi="inherit" w:cs="Times New Roman"/>
          <w:color w:val="000000"/>
          <w:spacing w:val="6"/>
          <w:sz w:val="24"/>
          <w:szCs w:val="24"/>
        </w:rPr>
        <w:t>performing</w:t>
      </w:r>
      <w:proofErr w:type="gramEnd"/>
      <w:r w:rsidRPr="00C37C16">
        <w:rPr>
          <w:rFonts w:ascii="inherit" w:eastAsia="Times New Roman" w:hAnsi="inherit" w:cs="Times New Roman"/>
          <w:color w:val="000000"/>
          <w:spacing w:val="6"/>
          <w:sz w:val="24"/>
          <w:szCs w:val="24"/>
        </w:rPr>
        <w:t xml:space="preserve"> </w:t>
      </w:r>
      <w:proofErr w:type="spellStart"/>
      <w:r w:rsidRPr="00C37C16">
        <w:rPr>
          <w:rFonts w:ascii="inherit" w:eastAsia="Times New Roman" w:hAnsi="inherit" w:cs="Times New Roman"/>
          <w:color w:val="000000"/>
          <w:spacing w:val="6"/>
          <w:sz w:val="24"/>
          <w:szCs w:val="24"/>
        </w:rPr>
        <w:t>microaffirmation</w:t>
      </w:r>
      <w:proofErr w:type="spellEnd"/>
      <w:r w:rsidRPr="00C37C16">
        <w:rPr>
          <w:rFonts w:ascii="inherit" w:eastAsia="Times New Roman" w:hAnsi="inherit" w:cs="Times New Roman"/>
          <w:color w:val="000000"/>
          <w:spacing w:val="6"/>
          <w:sz w:val="24"/>
          <w:szCs w:val="24"/>
        </w:rPr>
        <w:t xml:space="preserve"> as a way to strengthen those in our network and nudge the social environment towards greater kindness.</w:t>
      </w:r>
    </w:p>
    <w:p w:rsidR="00C37C16" w:rsidRPr="00C37C16" w:rsidRDefault="00C37C16" w:rsidP="00C37C16">
      <w:pPr>
        <w:shd w:val="clear" w:color="auto" w:fill="FFFFFF"/>
        <w:spacing w:after="0" w:line="240" w:lineRule="auto"/>
        <w:ind w:left="300"/>
        <w:textAlignment w:val="baseline"/>
        <w:rPr>
          <w:rFonts w:ascii="inherit" w:eastAsia="Times New Roman" w:hAnsi="inherit" w:cs="Times New Roman"/>
          <w:color w:val="000000"/>
          <w:spacing w:val="6"/>
          <w:sz w:val="24"/>
          <w:szCs w:val="24"/>
        </w:rPr>
      </w:pPr>
    </w:p>
    <w:p w:rsidR="00C37C16" w:rsidRPr="00C37C16" w:rsidRDefault="00C37C16" w:rsidP="00C37C16">
      <w:pPr>
        <w:shd w:val="clear" w:color="auto" w:fill="FFFFFF"/>
        <w:spacing w:after="300" w:line="240" w:lineRule="auto"/>
        <w:textAlignment w:val="baseline"/>
        <w:rPr>
          <w:rFonts w:ascii="inherit" w:eastAsia="Times New Roman" w:hAnsi="inherit" w:cs="Times New Roman"/>
          <w:color w:val="000000"/>
          <w:spacing w:val="6"/>
          <w:sz w:val="24"/>
          <w:szCs w:val="24"/>
        </w:rPr>
      </w:pPr>
      <w:r w:rsidRPr="00C37C16">
        <w:rPr>
          <w:rFonts w:ascii="inherit" w:eastAsia="Times New Roman" w:hAnsi="inherit" w:cs="Times New Roman"/>
          <w:color w:val="000000"/>
          <w:spacing w:val="6"/>
          <w:sz w:val="24"/>
          <w:szCs w:val="24"/>
        </w:rPr>
        <w:t xml:space="preserve">Hence, </w:t>
      </w:r>
      <w:proofErr w:type="spellStart"/>
      <w:r w:rsidRPr="00C37C16">
        <w:rPr>
          <w:rFonts w:ascii="inherit" w:eastAsia="Times New Roman" w:hAnsi="inherit" w:cs="Times New Roman"/>
          <w:color w:val="000000"/>
          <w:spacing w:val="6"/>
          <w:sz w:val="24"/>
          <w:szCs w:val="24"/>
        </w:rPr>
        <w:t>microresistance</w:t>
      </w:r>
      <w:proofErr w:type="spellEnd"/>
      <w:r w:rsidRPr="00C37C16">
        <w:rPr>
          <w:rFonts w:ascii="inherit" w:eastAsia="Times New Roman" w:hAnsi="inherit" w:cs="Times New Roman"/>
          <w:color w:val="000000"/>
          <w:spacing w:val="6"/>
          <w:sz w:val="24"/>
          <w:szCs w:val="24"/>
        </w:rPr>
        <w:t xml:space="preserve"> can take many forms and can be deployed at various moments. Regarding timing, </w:t>
      </w:r>
      <w:proofErr w:type="spellStart"/>
      <w:r w:rsidRPr="00C37C16">
        <w:rPr>
          <w:rFonts w:ascii="inherit" w:eastAsia="Times New Roman" w:hAnsi="inherit" w:cs="Times New Roman"/>
          <w:color w:val="000000"/>
          <w:spacing w:val="6"/>
          <w:sz w:val="24"/>
          <w:szCs w:val="24"/>
        </w:rPr>
        <w:t>microresistance</w:t>
      </w:r>
      <w:proofErr w:type="spellEnd"/>
      <w:r w:rsidRPr="00C37C16">
        <w:rPr>
          <w:rFonts w:ascii="inherit" w:eastAsia="Times New Roman" w:hAnsi="inherit" w:cs="Times New Roman"/>
          <w:color w:val="000000"/>
          <w:spacing w:val="6"/>
          <w:sz w:val="24"/>
          <w:szCs w:val="24"/>
        </w:rPr>
        <w:t xml:space="preserve"> can happen before, during, and after a </w:t>
      </w:r>
      <w:proofErr w:type="spellStart"/>
      <w:r w:rsidRPr="00C37C16">
        <w:rPr>
          <w:rFonts w:ascii="inherit" w:eastAsia="Times New Roman" w:hAnsi="inherit" w:cs="Times New Roman"/>
          <w:color w:val="000000"/>
          <w:spacing w:val="6"/>
          <w:sz w:val="24"/>
          <w:szCs w:val="24"/>
        </w:rPr>
        <w:t>microaggressive</w:t>
      </w:r>
      <w:proofErr w:type="spellEnd"/>
      <w:r w:rsidRPr="00C37C16">
        <w:rPr>
          <w:rFonts w:ascii="inherit" w:eastAsia="Times New Roman" w:hAnsi="inherit" w:cs="Times New Roman"/>
          <w:color w:val="000000"/>
          <w:spacing w:val="6"/>
          <w:sz w:val="24"/>
          <w:szCs w:val="24"/>
        </w:rPr>
        <w:t xml:space="preserve"> event. Regarding form, </w:t>
      </w:r>
      <w:proofErr w:type="spellStart"/>
      <w:r w:rsidRPr="00C37C16">
        <w:rPr>
          <w:rFonts w:ascii="inherit" w:eastAsia="Times New Roman" w:hAnsi="inherit" w:cs="Times New Roman"/>
          <w:color w:val="000000"/>
          <w:spacing w:val="6"/>
          <w:sz w:val="24"/>
          <w:szCs w:val="24"/>
        </w:rPr>
        <w:t>microresistance</w:t>
      </w:r>
      <w:proofErr w:type="spellEnd"/>
      <w:r w:rsidRPr="00C37C16">
        <w:rPr>
          <w:rFonts w:ascii="inherit" w:eastAsia="Times New Roman" w:hAnsi="inherit" w:cs="Times New Roman"/>
          <w:color w:val="000000"/>
          <w:spacing w:val="6"/>
          <w:sz w:val="24"/>
          <w:szCs w:val="24"/>
        </w:rPr>
        <w:t xml:space="preserve"> can be done regularly as a capacity-building practice, or can be an indirect or direct in-the-moment response to a </w:t>
      </w:r>
      <w:proofErr w:type="spellStart"/>
      <w:r w:rsidRPr="00C37C16">
        <w:rPr>
          <w:rFonts w:ascii="inherit" w:eastAsia="Times New Roman" w:hAnsi="inherit" w:cs="Times New Roman"/>
          <w:color w:val="000000"/>
          <w:spacing w:val="6"/>
          <w:sz w:val="24"/>
          <w:szCs w:val="24"/>
        </w:rPr>
        <w:t>microaggression</w:t>
      </w:r>
      <w:proofErr w:type="spellEnd"/>
      <w:r w:rsidRPr="00C37C16">
        <w:rPr>
          <w:rFonts w:ascii="inherit" w:eastAsia="Times New Roman" w:hAnsi="inherit" w:cs="Times New Roman"/>
          <w:color w:val="000000"/>
          <w:spacing w:val="6"/>
          <w:sz w:val="24"/>
          <w:szCs w:val="24"/>
        </w:rPr>
        <w:t xml:space="preserve">. </w:t>
      </w:r>
      <w:r w:rsidRPr="00C37C16">
        <w:rPr>
          <w:rFonts w:ascii="inherit" w:eastAsia="Times New Roman" w:hAnsi="inherit" w:cs="Times New Roman"/>
          <w:color w:val="000000"/>
          <w:spacing w:val="6"/>
          <w:sz w:val="24"/>
          <w:szCs w:val="24"/>
        </w:rPr>
        <w:lastRenderedPageBreak/>
        <w:t xml:space="preserve">Additionally, </w:t>
      </w:r>
      <w:proofErr w:type="spellStart"/>
      <w:r w:rsidRPr="00C37C16">
        <w:rPr>
          <w:rFonts w:ascii="inherit" w:eastAsia="Times New Roman" w:hAnsi="inherit" w:cs="Times New Roman"/>
          <w:color w:val="000000"/>
          <w:spacing w:val="6"/>
          <w:sz w:val="24"/>
          <w:szCs w:val="24"/>
        </w:rPr>
        <w:t>microresistance</w:t>
      </w:r>
      <w:proofErr w:type="spellEnd"/>
      <w:r w:rsidRPr="00C37C16">
        <w:rPr>
          <w:rFonts w:ascii="inherit" w:eastAsia="Times New Roman" w:hAnsi="inherit" w:cs="Times New Roman"/>
          <w:color w:val="000000"/>
          <w:spacing w:val="6"/>
          <w:sz w:val="24"/>
          <w:szCs w:val="24"/>
        </w:rPr>
        <w:t xml:space="preserve"> can be practiced alone or in concert with others, synchronously or not.</w:t>
      </w:r>
    </w:p>
    <w:p w:rsidR="00C37C16" w:rsidRPr="00C37C16" w:rsidRDefault="00C37C16" w:rsidP="00A11CA7">
      <w:pPr>
        <w:pStyle w:val="Heading2"/>
        <w:rPr>
          <w:rFonts w:ascii="Alegreya Sans" w:hAnsi="Alegreya Sans"/>
        </w:rPr>
      </w:pPr>
      <w:r w:rsidRPr="00C37C16">
        <w:rPr>
          <w:bdr w:val="none" w:sz="0" w:space="0" w:color="auto" w:frame="1"/>
        </w:rPr>
        <w:t>Shoring up personal resources</w:t>
      </w:r>
    </w:p>
    <w:p w:rsidR="00C37C16" w:rsidRDefault="00C37C16" w:rsidP="00C37C16">
      <w:pPr>
        <w:shd w:val="clear" w:color="auto" w:fill="FFFFFF"/>
        <w:spacing w:after="0" w:line="240" w:lineRule="auto"/>
        <w:textAlignment w:val="baseline"/>
        <w:rPr>
          <w:rFonts w:ascii="inherit" w:eastAsia="Times New Roman" w:hAnsi="inherit" w:cs="Times New Roman"/>
          <w:color w:val="000000"/>
          <w:spacing w:val="6"/>
          <w:sz w:val="24"/>
          <w:szCs w:val="24"/>
        </w:rPr>
      </w:pPr>
    </w:p>
    <w:p w:rsidR="00C37C16" w:rsidRDefault="00C37C16" w:rsidP="00C37C16">
      <w:pPr>
        <w:shd w:val="clear" w:color="auto" w:fill="FFFFFF"/>
        <w:spacing w:after="0" w:line="240" w:lineRule="auto"/>
        <w:textAlignment w:val="baseline"/>
        <w:rPr>
          <w:rFonts w:ascii="inherit" w:eastAsia="Times New Roman" w:hAnsi="inherit" w:cs="Times New Roman"/>
          <w:color w:val="000000"/>
          <w:spacing w:val="6"/>
          <w:sz w:val="24"/>
          <w:szCs w:val="24"/>
        </w:rPr>
      </w:pPr>
      <w:r w:rsidRPr="00C37C16">
        <w:rPr>
          <w:rFonts w:ascii="inherit" w:eastAsia="Times New Roman" w:hAnsi="inherit" w:cs="Times New Roman"/>
          <w:color w:val="000000"/>
          <w:spacing w:val="6"/>
          <w:sz w:val="24"/>
          <w:szCs w:val="24"/>
        </w:rPr>
        <w:t>One sustainable and activist practice is self-care. As </w:t>
      </w:r>
      <w:hyperlink r:id="rId9" w:history="1">
        <w:r w:rsidRPr="00C37C16">
          <w:rPr>
            <w:rFonts w:ascii="inherit" w:eastAsia="Times New Roman" w:hAnsi="inherit" w:cs="Times New Roman"/>
            <w:color w:val="018DC2"/>
            <w:spacing w:val="6"/>
            <w:sz w:val="24"/>
            <w:szCs w:val="24"/>
            <w:bdr w:val="none" w:sz="0" w:space="0" w:color="auto" w:frame="1"/>
          </w:rPr>
          <w:t>Audre Lorde</w:t>
        </w:r>
      </w:hyperlink>
      <w:r w:rsidRPr="00C37C16">
        <w:rPr>
          <w:rFonts w:ascii="inherit" w:eastAsia="Times New Roman" w:hAnsi="inherit" w:cs="Times New Roman"/>
          <w:color w:val="000000"/>
          <w:spacing w:val="6"/>
          <w:sz w:val="24"/>
          <w:szCs w:val="24"/>
        </w:rPr>
        <w:t xml:space="preserve"> put it, “Caring for myself is not self-indulgence, it is self-preservation, and that is an act of political warfare.” The </w:t>
      </w:r>
      <w:proofErr w:type="spellStart"/>
      <w:r w:rsidRPr="00C37C16">
        <w:rPr>
          <w:rFonts w:ascii="inherit" w:eastAsia="Times New Roman" w:hAnsi="inherit" w:cs="Times New Roman"/>
          <w:color w:val="000000"/>
          <w:spacing w:val="6"/>
          <w:sz w:val="24"/>
          <w:szCs w:val="24"/>
        </w:rPr>
        <w:t>microresistant</w:t>
      </w:r>
      <w:proofErr w:type="spellEnd"/>
      <w:r w:rsidRPr="00C37C16">
        <w:rPr>
          <w:rFonts w:ascii="inherit" w:eastAsia="Times New Roman" w:hAnsi="inherit" w:cs="Times New Roman"/>
          <w:color w:val="000000"/>
          <w:spacing w:val="6"/>
          <w:sz w:val="24"/>
          <w:szCs w:val="24"/>
        </w:rPr>
        <w:t xml:space="preserve"> practice of self-care prepares us to weather the </w:t>
      </w:r>
      <w:hyperlink r:id="rId10" w:history="1">
        <w:r w:rsidRPr="00C37C16">
          <w:rPr>
            <w:rFonts w:ascii="inherit" w:eastAsia="Times New Roman" w:hAnsi="inherit" w:cs="Times New Roman"/>
            <w:color w:val="018DC2"/>
            <w:spacing w:val="6"/>
            <w:sz w:val="24"/>
            <w:szCs w:val="24"/>
            <w:bdr w:val="none" w:sz="0" w:space="0" w:color="auto" w:frame="1"/>
          </w:rPr>
          <w:t xml:space="preserve">toxic raindrops of corrosive </w:t>
        </w:r>
        <w:proofErr w:type="spellStart"/>
        <w:r w:rsidRPr="00C37C16">
          <w:rPr>
            <w:rFonts w:ascii="inherit" w:eastAsia="Times New Roman" w:hAnsi="inherit" w:cs="Times New Roman"/>
            <w:color w:val="018DC2"/>
            <w:spacing w:val="6"/>
            <w:sz w:val="24"/>
            <w:szCs w:val="24"/>
            <w:bdr w:val="none" w:sz="0" w:space="0" w:color="auto" w:frame="1"/>
          </w:rPr>
          <w:t>microaggressions</w:t>
        </w:r>
        <w:proofErr w:type="spellEnd"/>
      </w:hyperlink>
      <w:r w:rsidRPr="00C37C16">
        <w:rPr>
          <w:rFonts w:ascii="inherit" w:eastAsia="Times New Roman" w:hAnsi="inherit" w:cs="Times New Roman"/>
          <w:color w:val="000000"/>
          <w:spacing w:val="6"/>
          <w:sz w:val="24"/>
          <w:szCs w:val="24"/>
        </w:rPr>
        <w:t xml:space="preserve"> and increase our capacity to withstand </w:t>
      </w:r>
      <w:proofErr w:type="spellStart"/>
      <w:r w:rsidRPr="00C37C16">
        <w:rPr>
          <w:rFonts w:ascii="inherit" w:eastAsia="Times New Roman" w:hAnsi="inherit" w:cs="Times New Roman"/>
          <w:color w:val="000000"/>
          <w:spacing w:val="6"/>
          <w:sz w:val="24"/>
          <w:szCs w:val="24"/>
        </w:rPr>
        <w:t>macroaggressive</w:t>
      </w:r>
      <w:proofErr w:type="spellEnd"/>
      <w:r w:rsidRPr="00C37C16">
        <w:rPr>
          <w:rFonts w:ascii="inherit" w:eastAsia="Times New Roman" w:hAnsi="inherit" w:cs="Times New Roman"/>
          <w:color w:val="000000"/>
          <w:spacing w:val="6"/>
          <w:sz w:val="24"/>
          <w:szCs w:val="24"/>
        </w:rPr>
        <w:t xml:space="preserve"> storms. For instance, </w:t>
      </w:r>
      <w:hyperlink r:id="rId11" w:history="1">
        <w:r w:rsidRPr="00C37C16">
          <w:rPr>
            <w:rFonts w:ascii="inherit" w:eastAsia="Times New Roman" w:hAnsi="inherit" w:cs="Times New Roman"/>
            <w:color w:val="018DC2"/>
            <w:spacing w:val="6"/>
            <w:sz w:val="24"/>
            <w:szCs w:val="24"/>
            <w:bdr w:val="none" w:sz="0" w:space="0" w:color="auto" w:frame="1"/>
          </w:rPr>
          <w:t>Tara Parker-Pope</w:t>
        </w:r>
      </w:hyperlink>
      <w:r w:rsidRPr="00C37C16">
        <w:rPr>
          <w:rFonts w:ascii="inherit" w:eastAsia="Times New Roman" w:hAnsi="inherit" w:cs="Times New Roman"/>
          <w:color w:val="000000"/>
          <w:spacing w:val="6"/>
          <w:sz w:val="24"/>
          <w:szCs w:val="24"/>
        </w:rPr>
        <w:t> advises us to </w:t>
      </w:r>
      <w:r w:rsidRPr="00C37C16">
        <w:rPr>
          <w:rFonts w:ascii="inherit" w:eastAsia="Times New Roman" w:hAnsi="inherit" w:cs="Times New Roman"/>
          <w:i/>
          <w:iCs/>
          <w:color w:val="000000"/>
          <w:spacing w:val="6"/>
          <w:sz w:val="24"/>
          <w:szCs w:val="24"/>
          <w:bdr w:val="none" w:sz="0" w:space="0" w:color="auto" w:frame="1"/>
        </w:rPr>
        <w:t>move</w:t>
      </w:r>
      <w:r w:rsidRPr="00C37C16">
        <w:rPr>
          <w:rFonts w:ascii="inherit" w:eastAsia="Times New Roman" w:hAnsi="inherit" w:cs="Times New Roman"/>
          <w:color w:val="000000"/>
          <w:spacing w:val="6"/>
          <w:sz w:val="24"/>
          <w:szCs w:val="24"/>
        </w:rPr>
        <w:t> our bodies, </w:t>
      </w:r>
      <w:r w:rsidRPr="00C37C16">
        <w:rPr>
          <w:rFonts w:ascii="inherit" w:eastAsia="Times New Roman" w:hAnsi="inherit" w:cs="Times New Roman"/>
          <w:i/>
          <w:iCs/>
          <w:color w:val="000000"/>
          <w:spacing w:val="6"/>
          <w:sz w:val="24"/>
          <w:szCs w:val="24"/>
          <w:bdr w:val="none" w:sz="0" w:space="0" w:color="auto" w:frame="1"/>
        </w:rPr>
        <w:t>nourish</w:t>
      </w:r>
      <w:r w:rsidRPr="00C37C16">
        <w:rPr>
          <w:rFonts w:ascii="inherit" w:eastAsia="Times New Roman" w:hAnsi="inherit" w:cs="Times New Roman"/>
          <w:color w:val="000000"/>
          <w:spacing w:val="6"/>
          <w:sz w:val="24"/>
          <w:szCs w:val="24"/>
        </w:rPr>
        <w:t> ourselves with healthful food and water, </w:t>
      </w:r>
      <w:r w:rsidRPr="00C37C16">
        <w:rPr>
          <w:rFonts w:ascii="inherit" w:eastAsia="Times New Roman" w:hAnsi="inherit" w:cs="Times New Roman"/>
          <w:i/>
          <w:iCs/>
          <w:color w:val="000000"/>
          <w:spacing w:val="6"/>
          <w:sz w:val="24"/>
          <w:szCs w:val="24"/>
          <w:bdr w:val="none" w:sz="0" w:space="0" w:color="auto" w:frame="1"/>
        </w:rPr>
        <w:t>refresh</w:t>
      </w:r>
      <w:r w:rsidRPr="00C37C16">
        <w:rPr>
          <w:rFonts w:ascii="inherit" w:eastAsia="Times New Roman" w:hAnsi="inherit" w:cs="Times New Roman"/>
          <w:color w:val="000000"/>
          <w:spacing w:val="6"/>
          <w:sz w:val="24"/>
          <w:szCs w:val="24"/>
        </w:rPr>
        <w:t> ourselves with sleep, and </w:t>
      </w:r>
      <w:r w:rsidRPr="00C37C16">
        <w:rPr>
          <w:rFonts w:ascii="inherit" w:eastAsia="Times New Roman" w:hAnsi="inherit" w:cs="Times New Roman"/>
          <w:i/>
          <w:iCs/>
          <w:color w:val="000000"/>
          <w:spacing w:val="6"/>
          <w:sz w:val="24"/>
          <w:szCs w:val="24"/>
          <w:bdr w:val="none" w:sz="0" w:space="0" w:color="auto" w:frame="1"/>
        </w:rPr>
        <w:t>connect </w:t>
      </w:r>
      <w:r w:rsidRPr="00C37C16">
        <w:rPr>
          <w:rFonts w:ascii="inherit" w:eastAsia="Times New Roman" w:hAnsi="inherit" w:cs="Times New Roman"/>
          <w:color w:val="000000"/>
          <w:spacing w:val="6"/>
          <w:sz w:val="24"/>
          <w:szCs w:val="24"/>
        </w:rPr>
        <w:t>with people we care about as four ways to live well. </w:t>
      </w:r>
      <w:hyperlink r:id="rId12" w:history="1">
        <w:r w:rsidRPr="00C37C16">
          <w:rPr>
            <w:rFonts w:ascii="inherit" w:eastAsia="Times New Roman" w:hAnsi="inherit" w:cs="Times New Roman"/>
            <w:color w:val="018DC2"/>
            <w:spacing w:val="6"/>
            <w:sz w:val="24"/>
            <w:szCs w:val="24"/>
            <w:bdr w:val="none" w:sz="0" w:space="0" w:color="auto" w:frame="1"/>
          </w:rPr>
          <w:t>José Bowen</w:t>
        </w:r>
      </w:hyperlink>
      <w:r w:rsidRPr="00C37C16">
        <w:rPr>
          <w:rFonts w:ascii="inherit" w:eastAsia="Times New Roman" w:hAnsi="inherit" w:cs="Times New Roman"/>
          <w:color w:val="000000"/>
          <w:spacing w:val="6"/>
          <w:sz w:val="24"/>
          <w:szCs w:val="24"/>
        </w:rPr>
        <w:t> asks his students how they are doing and hopes they will answer with the acronym SWEET, meaning that they are getting enough </w:t>
      </w:r>
      <w:r w:rsidRPr="00C37C16">
        <w:rPr>
          <w:rFonts w:ascii="inherit" w:eastAsia="Times New Roman" w:hAnsi="inherit" w:cs="Times New Roman"/>
          <w:b/>
          <w:bCs/>
          <w:color w:val="000000"/>
          <w:spacing w:val="6"/>
          <w:sz w:val="24"/>
          <w:szCs w:val="24"/>
          <w:bdr w:val="none" w:sz="0" w:space="0" w:color="auto" w:frame="1"/>
        </w:rPr>
        <w:t>sleep</w:t>
      </w:r>
      <w:r w:rsidRPr="00C37C16">
        <w:rPr>
          <w:rFonts w:ascii="inherit" w:eastAsia="Times New Roman" w:hAnsi="inherit" w:cs="Times New Roman"/>
          <w:color w:val="000000"/>
          <w:spacing w:val="6"/>
          <w:sz w:val="24"/>
          <w:szCs w:val="24"/>
        </w:rPr>
        <w:t>, drinking enough </w:t>
      </w:r>
      <w:r w:rsidRPr="00C37C16">
        <w:rPr>
          <w:rFonts w:ascii="inherit" w:eastAsia="Times New Roman" w:hAnsi="inherit" w:cs="Times New Roman"/>
          <w:b/>
          <w:bCs/>
          <w:color w:val="000000"/>
          <w:spacing w:val="6"/>
          <w:sz w:val="24"/>
          <w:szCs w:val="24"/>
          <w:bdr w:val="none" w:sz="0" w:space="0" w:color="auto" w:frame="1"/>
        </w:rPr>
        <w:t>water</w:t>
      </w:r>
      <w:r w:rsidRPr="00C37C16">
        <w:rPr>
          <w:rFonts w:ascii="inherit" w:eastAsia="Times New Roman" w:hAnsi="inherit" w:cs="Times New Roman"/>
          <w:color w:val="000000"/>
          <w:spacing w:val="6"/>
          <w:sz w:val="24"/>
          <w:szCs w:val="24"/>
        </w:rPr>
        <w:t>, </w:t>
      </w:r>
      <w:r w:rsidRPr="00C37C16">
        <w:rPr>
          <w:rFonts w:ascii="inherit" w:eastAsia="Times New Roman" w:hAnsi="inherit" w:cs="Times New Roman"/>
          <w:b/>
          <w:bCs/>
          <w:color w:val="000000"/>
          <w:spacing w:val="6"/>
          <w:sz w:val="24"/>
          <w:szCs w:val="24"/>
          <w:bdr w:val="none" w:sz="0" w:space="0" w:color="auto" w:frame="1"/>
        </w:rPr>
        <w:t>eating</w:t>
      </w:r>
      <w:r w:rsidRPr="00C37C16">
        <w:rPr>
          <w:rFonts w:ascii="inherit" w:eastAsia="Times New Roman" w:hAnsi="inherit" w:cs="Times New Roman"/>
          <w:color w:val="000000"/>
          <w:spacing w:val="6"/>
          <w:sz w:val="24"/>
          <w:szCs w:val="24"/>
        </w:rPr>
        <w:t> nutritious food, </w:t>
      </w:r>
      <w:r w:rsidRPr="00C37C16">
        <w:rPr>
          <w:rFonts w:ascii="inherit" w:eastAsia="Times New Roman" w:hAnsi="inherit" w:cs="Times New Roman"/>
          <w:b/>
          <w:bCs/>
          <w:color w:val="000000"/>
          <w:spacing w:val="6"/>
          <w:sz w:val="24"/>
          <w:szCs w:val="24"/>
          <w:bdr w:val="none" w:sz="0" w:space="0" w:color="auto" w:frame="1"/>
        </w:rPr>
        <w:t>exercising</w:t>
      </w:r>
      <w:r w:rsidRPr="00C37C16">
        <w:rPr>
          <w:rFonts w:ascii="inherit" w:eastAsia="Times New Roman" w:hAnsi="inherit" w:cs="Times New Roman"/>
          <w:color w:val="000000"/>
          <w:spacing w:val="6"/>
          <w:sz w:val="24"/>
          <w:szCs w:val="24"/>
        </w:rPr>
        <w:t> their bodies, and managing their </w:t>
      </w:r>
      <w:r w:rsidRPr="00C37C16">
        <w:rPr>
          <w:rFonts w:ascii="inherit" w:eastAsia="Times New Roman" w:hAnsi="inherit" w:cs="Times New Roman"/>
          <w:b/>
          <w:bCs/>
          <w:color w:val="000000"/>
          <w:spacing w:val="6"/>
          <w:sz w:val="24"/>
          <w:szCs w:val="24"/>
          <w:bdr w:val="none" w:sz="0" w:space="0" w:color="auto" w:frame="1"/>
        </w:rPr>
        <w:t>time</w:t>
      </w:r>
      <w:r w:rsidRPr="00C37C16">
        <w:rPr>
          <w:rFonts w:ascii="inherit" w:eastAsia="Times New Roman" w:hAnsi="inherit" w:cs="Times New Roman"/>
          <w:color w:val="000000"/>
          <w:spacing w:val="6"/>
          <w:sz w:val="24"/>
          <w:szCs w:val="24"/>
        </w:rPr>
        <w:t> well.</w:t>
      </w:r>
    </w:p>
    <w:p w:rsidR="00C37C16" w:rsidRPr="00C37C16" w:rsidRDefault="00C37C16" w:rsidP="00C37C16">
      <w:pPr>
        <w:shd w:val="clear" w:color="auto" w:fill="FFFFFF"/>
        <w:spacing w:after="0" w:line="240" w:lineRule="auto"/>
        <w:textAlignment w:val="baseline"/>
        <w:rPr>
          <w:rFonts w:ascii="inherit" w:eastAsia="Times New Roman" w:hAnsi="inherit" w:cs="Times New Roman"/>
          <w:color w:val="000000"/>
          <w:spacing w:val="6"/>
          <w:sz w:val="24"/>
          <w:szCs w:val="24"/>
        </w:rPr>
      </w:pPr>
    </w:p>
    <w:p w:rsidR="00C37C16" w:rsidRPr="00C37C16" w:rsidRDefault="00C37C16" w:rsidP="00A11CA7">
      <w:pPr>
        <w:pStyle w:val="Heading2"/>
        <w:rPr>
          <w:rFonts w:ascii="Alegreya Sans" w:hAnsi="Alegreya Sans"/>
        </w:rPr>
      </w:pPr>
      <w:r w:rsidRPr="00C37C16">
        <w:rPr>
          <w:bdr w:val="none" w:sz="0" w:space="0" w:color="auto" w:frame="1"/>
        </w:rPr>
        <w:t>Controlling our physical environment</w:t>
      </w:r>
    </w:p>
    <w:p w:rsidR="00C37C16" w:rsidRDefault="00C37C16" w:rsidP="00C37C16">
      <w:pPr>
        <w:shd w:val="clear" w:color="auto" w:fill="FFFFFF"/>
        <w:spacing w:after="0" w:line="240" w:lineRule="auto"/>
        <w:textAlignment w:val="baseline"/>
        <w:rPr>
          <w:rFonts w:ascii="inherit" w:eastAsia="Times New Roman" w:hAnsi="inherit" w:cs="Times New Roman"/>
          <w:color w:val="000000"/>
          <w:spacing w:val="6"/>
          <w:sz w:val="24"/>
          <w:szCs w:val="24"/>
        </w:rPr>
      </w:pPr>
    </w:p>
    <w:p w:rsidR="00C37C16" w:rsidRPr="00C37C16" w:rsidRDefault="00C37C16" w:rsidP="00C37C16">
      <w:pPr>
        <w:shd w:val="clear" w:color="auto" w:fill="FFFFFF"/>
        <w:spacing w:after="0" w:line="240" w:lineRule="auto"/>
        <w:textAlignment w:val="baseline"/>
        <w:rPr>
          <w:rFonts w:ascii="inherit" w:eastAsia="Times New Roman" w:hAnsi="inherit" w:cs="Times New Roman"/>
          <w:color w:val="000000"/>
          <w:spacing w:val="6"/>
          <w:sz w:val="24"/>
          <w:szCs w:val="24"/>
        </w:rPr>
      </w:pPr>
      <w:hyperlink r:id="rId13" w:history="1">
        <w:r w:rsidRPr="00C37C16">
          <w:rPr>
            <w:rFonts w:ascii="inherit" w:eastAsia="Times New Roman" w:hAnsi="inherit" w:cs="Times New Roman"/>
            <w:color w:val="018DC2"/>
            <w:spacing w:val="6"/>
            <w:sz w:val="24"/>
            <w:szCs w:val="24"/>
            <w:bdr w:val="none" w:sz="0" w:space="0" w:color="auto" w:frame="1"/>
          </w:rPr>
          <w:t>Rebecca Knight</w:t>
        </w:r>
      </w:hyperlink>
      <w:r w:rsidRPr="00C37C16">
        <w:rPr>
          <w:rFonts w:ascii="inherit" w:eastAsia="Times New Roman" w:hAnsi="inherit" w:cs="Times New Roman"/>
          <w:color w:val="000000"/>
          <w:spacing w:val="6"/>
          <w:sz w:val="24"/>
          <w:szCs w:val="24"/>
        </w:rPr>
        <w:t> shares invaluable advice about “reading a room,” but what if we also arrange the room proactively? For those of us who go to meetings, give talks, or teach classes, this means arriving early and setting the stage, if we can. Not only does this enable us to understand the terrain of the space but also to exert small amounts of control whenever possible. For instance, is the podium in a good place? Is the microphone set up for our height? Where do we want to be relative to the exit or exits should we need to excuse ourselves? This </w:t>
      </w:r>
      <w:hyperlink r:id="rId14" w:history="1">
        <w:r w:rsidRPr="00C37C16">
          <w:rPr>
            <w:rFonts w:ascii="inherit" w:eastAsia="Times New Roman" w:hAnsi="inherit" w:cs="Times New Roman"/>
            <w:color w:val="018DC2"/>
            <w:spacing w:val="6"/>
            <w:sz w:val="24"/>
            <w:szCs w:val="24"/>
            <w:bdr w:val="none" w:sz="0" w:space="0" w:color="auto" w:frame="1"/>
          </w:rPr>
          <w:t>study</w:t>
        </w:r>
      </w:hyperlink>
      <w:r w:rsidRPr="00C37C16">
        <w:rPr>
          <w:rFonts w:ascii="inherit" w:eastAsia="Times New Roman" w:hAnsi="inherit" w:cs="Times New Roman"/>
          <w:color w:val="000000"/>
          <w:spacing w:val="6"/>
          <w:sz w:val="24"/>
          <w:szCs w:val="24"/>
        </w:rPr>
        <w:t> confirms the importance of furniture arrangement for inclusion.</w:t>
      </w:r>
    </w:p>
    <w:p w:rsidR="00C37C16" w:rsidRPr="00C37C16" w:rsidRDefault="00C37C16" w:rsidP="00C37C16">
      <w:pPr>
        <w:shd w:val="clear" w:color="auto" w:fill="FFFFFF"/>
        <w:spacing w:after="300" w:line="240" w:lineRule="auto"/>
        <w:textAlignment w:val="baseline"/>
        <w:rPr>
          <w:rFonts w:ascii="inherit" w:eastAsia="Times New Roman" w:hAnsi="inherit" w:cs="Times New Roman"/>
          <w:color w:val="000000"/>
          <w:spacing w:val="6"/>
          <w:sz w:val="24"/>
          <w:szCs w:val="24"/>
        </w:rPr>
      </w:pPr>
      <w:r w:rsidRPr="00C37C16">
        <w:rPr>
          <w:rFonts w:ascii="inherit" w:eastAsia="Times New Roman" w:hAnsi="inherit" w:cs="Times New Roman"/>
          <w:color w:val="000000"/>
          <w:spacing w:val="6"/>
          <w:sz w:val="24"/>
          <w:szCs w:val="24"/>
        </w:rPr>
        <w:t>Arriving early also enables us to make some key social contacts, some of whom are behind the scenes. For instance, we always try to meet the sound engineers and other staff before a talk. Not only is it kind to do so, but it creates a mini-relationship with people who will be key to our success. Of course, it’s always good to thank publicly those who helped us behind the scenes, not just the sponsors who invited us.</w:t>
      </w:r>
    </w:p>
    <w:p w:rsidR="00C37C16" w:rsidRPr="00C37C16" w:rsidRDefault="00C37C16" w:rsidP="00C37C16">
      <w:pPr>
        <w:shd w:val="clear" w:color="auto" w:fill="FFFFFF"/>
        <w:spacing w:after="300" w:line="240" w:lineRule="auto"/>
        <w:textAlignment w:val="baseline"/>
        <w:rPr>
          <w:rFonts w:ascii="inherit" w:eastAsia="Times New Roman" w:hAnsi="inherit" w:cs="Times New Roman"/>
          <w:color w:val="000000"/>
          <w:spacing w:val="6"/>
          <w:sz w:val="24"/>
          <w:szCs w:val="24"/>
        </w:rPr>
      </w:pPr>
      <w:r w:rsidRPr="00C37C16">
        <w:rPr>
          <w:rFonts w:ascii="inherit" w:eastAsia="Times New Roman" w:hAnsi="inherit" w:cs="Times New Roman"/>
          <w:color w:val="000000"/>
          <w:spacing w:val="6"/>
          <w:sz w:val="24"/>
          <w:szCs w:val="24"/>
        </w:rPr>
        <w:t>Finally, arriving early enables us to make contacts with early arriving attendees. This is especially helpful for those of us who give presentations and talks to strangers. We make it a point to introduce ourselves to at least three attendees, ideally in the left, center, and right sections of the room. Hopefully, we’ve made a momentary fan out of those three people. During our talk, we can look those three people in the eyes every now and then. This will increase the audience’s sense of connection with us, and ideally, we’ll be getting some positive feedback from these three fans with nods and smiles.</w:t>
      </w:r>
    </w:p>
    <w:p w:rsidR="00C37C16" w:rsidRPr="00C37C16" w:rsidRDefault="00C37C16" w:rsidP="00A11CA7">
      <w:pPr>
        <w:pStyle w:val="Heading2"/>
        <w:rPr>
          <w:rFonts w:ascii="Alegreya Sans" w:hAnsi="Alegreya Sans"/>
        </w:rPr>
      </w:pPr>
      <w:r w:rsidRPr="00C37C16">
        <w:rPr>
          <w:bdr w:val="none" w:sz="0" w:space="0" w:color="auto" w:frame="1"/>
        </w:rPr>
        <w:t>Building a network of compatriots</w:t>
      </w:r>
    </w:p>
    <w:p w:rsidR="00C37C16" w:rsidRDefault="00C37C16" w:rsidP="00C37C16">
      <w:pPr>
        <w:shd w:val="clear" w:color="auto" w:fill="FFFFFF"/>
        <w:spacing w:after="0" w:line="240" w:lineRule="auto"/>
        <w:textAlignment w:val="baseline"/>
        <w:rPr>
          <w:rFonts w:ascii="inherit" w:eastAsia="Times New Roman" w:hAnsi="inherit" w:cs="Times New Roman"/>
          <w:color w:val="000000"/>
          <w:spacing w:val="6"/>
          <w:sz w:val="24"/>
          <w:szCs w:val="24"/>
        </w:rPr>
      </w:pPr>
    </w:p>
    <w:p w:rsidR="00C37C16" w:rsidRPr="00C37C16" w:rsidRDefault="00C37C16" w:rsidP="00C37C16">
      <w:pPr>
        <w:shd w:val="clear" w:color="auto" w:fill="FFFFFF"/>
        <w:spacing w:after="0" w:line="240" w:lineRule="auto"/>
        <w:textAlignment w:val="baseline"/>
        <w:rPr>
          <w:rFonts w:ascii="inherit" w:eastAsia="Times New Roman" w:hAnsi="inherit" w:cs="Times New Roman"/>
          <w:color w:val="000000"/>
          <w:spacing w:val="6"/>
          <w:sz w:val="24"/>
          <w:szCs w:val="24"/>
        </w:rPr>
      </w:pPr>
      <w:r w:rsidRPr="00C37C16">
        <w:rPr>
          <w:rFonts w:ascii="inherit" w:eastAsia="Times New Roman" w:hAnsi="inherit" w:cs="Times New Roman"/>
          <w:color w:val="000000"/>
          <w:spacing w:val="6"/>
          <w:sz w:val="24"/>
          <w:szCs w:val="24"/>
        </w:rPr>
        <w:t>Having strangers on our side can help during a presentation, but having a network of allies can transform our experience of an institution. </w:t>
      </w:r>
      <w:proofErr w:type="spellStart"/>
      <w:r w:rsidRPr="00C37C16">
        <w:rPr>
          <w:rFonts w:ascii="inherit" w:eastAsia="Times New Roman" w:hAnsi="inherit" w:cs="Times New Roman"/>
          <w:color w:val="000000"/>
          <w:spacing w:val="6"/>
          <w:sz w:val="24"/>
          <w:szCs w:val="24"/>
        </w:rPr>
        <w:fldChar w:fldCharType="begin"/>
      </w:r>
      <w:r w:rsidRPr="00C37C16">
        <w:rPr>
          <w:rFonts w:ascii="inherit" w:eastAsia="Times New Roman" w:hAnsi="inherit" w:cs="Times New Roman"/>
          <w:color w:val="000000"/>
          <w:spacing w:val="6"/>
          <w:sz w:val="24"/>
          <w:szCs w:val="24"/>
        </w:rPr>
        <w:instrText xml:space="preserve"> HYPERLINK "https://digital.lib.washington.edu/researchworks/handle/1773/22898" </w:instrText>
      </w:r>
      <w:r w:rsidRPr="00C37C16">
        <w:rPr>
          <w:rFonts w:ascii="inherit" w:eastAsia="Times New Roman" w:hAnsi="inherit" w:cs="Times New Roman"/>
          <w:color w:val="000000"/>
          <w:spacing w:val="6"/>
          <w:sz w:val="24"/>
          <w:szCs w:val="24"/>
        </w:rPr>
        <w:fldChar w:fldCharType="separate"/>
      </w:r>
      <w:r w:rsidRPr="00C37C16">
        <w:rPr>
          <w:rFonts w:ascii="inherit" w:eastAsia="Times New Roman" w:hAnsi="inherit" w:cs="Times New Roman"/>
          <w:color w:val="018DC2"/>
          <w:spacing w:val="6"/>
          <w:sz w:val="24"/>
          <w:szCs w:val="24"/>
          <w:bdr w:val="none" w:sz="0" w:space="0" w:color="auto" w:frame="1"/>
        </w:rPr>
        <w:t>Sayumi</w:t>
      </w:r>
      <w:proofErr w:type="spellEnd"/>
      <w:r w:rsidRPr="00C37C16">
        <w:rPr>
          <w:rFonts w:ascii="inherit" w:eastAsia="Times New Roman" w:hAnsi="inherit" w:cs="Times New Roman"/>
          <w:color w:val="018DC2"/>
          <w:spacing w:val="6"/>
          <w:sz w:val="24"/>
          <w:szCs w:val="24"/>
          <w:bdr w:val="none" w:sz="0" w:space="0" w:color="auto" w:frame="1"/>
        </w:rPr>
        <w:t xml:space="preserve"> </w:t>
      </w:r>
      <w:proofErr w:type="spellStart"/>
      <w:r w:rsidRPr="00C37C16">
        <w:rPr>
          <w:rFonts w:ascii="inherit" w:eastAsia="Times New Roman" w:hAnsi="inherit" w:cs="Times New Roman"/>
          <w:color w:val="018DC2"/>
          <w:spacing w:val="6"/>
          <w:sz w:val="24"/>
          <w:szCs w:val="24"/>
          <w:bdr w:val="none" w:sz="0" w:space="0" w:color="auto" w:frame="1"/>
        </w:rPr>
        <w:t>Irey’s</w:t>
      </w:r>
      <w:proofErr w:type="spellEnd"/>
      <w:r w:rsidRPr="00C37C16">
        <w:rPr>
          <w:rFonts w:ascii="inherit" w:eastAsia="Times New Roman" w:hAnsi="inherit" w:cs="Times New Roman"/>
          <w:color w:val="000000"/>
          <w:spacing w:val="6"/>
          <w:sz w:val="24"/>
          <w:szCs w:val="24"/>
        </w:rPr>
        <w:fldChar w:fldCharType="end"/>
      </w:r>
      <w:r w:rsidRPr="00C37C16">
        <w:rPr>
          <w:rFonts w:ascii="inherit" w:eastAsia="Times New Roman" w:hAnsi="inherit" w:cs="Times New Roman"/>
          <w:color w:val="000000"/>
          <w:spacing w:val="6"/>
          <w:sz w:val="24"/>
          <w:szCs w:val="24"/>
        </w:rPr>
        <w:t> dissertation, from which we learned the term </w:t>
      </w:r>
      <w:proofErr w:type="spellStart"/>
      <w:r w:rsidRPr="00C37C16">
        <w:rPr>
          <w:rFonts w:ascii="inherit" w:eastAsia="Times New Roman" w:hAnsi="inherit" w:cs="Times New Roman"/>
          <w:i/>
          <w:iCs/>
          <w:color w:val="000000"/>
          <w:spacing w:val="6"/>
          <w:sz w:val="24"/>
          <w:szCs w:val="24"/>
          <w:bdr w:val="none" w:sz="0" w:space="0" w:color="auto" w:frame="1"/>
        </w:rPr>
        <w:t>microresistance</w:t>
      </w:r>
      <w:proofErr w:type="spellEnd"/>
      <w:r w:rsidRPr="00C37C16">
        <w:rPr>
          <w:rFonts w:ascii="inherit" w:eastAsia="Times New Roman" w:hAnsi="inherit" w:cs="Times New Roman"/>
          <w:i/>
          <w:iCs/>
          <w:color w:val="000000"/>
          <w:spacing w:val="6"/>
          <w:sz w:val="24"/>
          <w:szCs w:val="24"/>
          <w:bdr w:val="none" w:sz="0" w:space="0" w:color="auto" w:frame="1"/>
        </w:rPr>
        <w:t>, </w:t>
      </w:r>
      <w:r w:rsidRPr="00C37C16">
        <w:rPr>
          <w:rFonts w:ascii="inherit" w:eastAsia="Times New Roman" w:hAnsi="inherit" w:cs="Times New Roman"/>
          <w:color w:val="000000"/>
          <w:spacing w:val="6"/>
          <w:sz w:val="24"/>
          <w:szCs w:val="24"/>
        </w:rPr>
        <w:t xml:space="preserve">focuses on the experiences of Asian American female staff and faculty. She found that all of her subjects “actively resisted </w:t>
      </w:r>
      <w:proofErr w:type="spellStart"/>
      <w:r w:rsidRPr="00C37C16">
        <w:rPr>
          <w:rFonts w:ascii="inherit" w:eastAsia="Times New Roman" w:hAnsi="inherit" w:cs="Times New Roman"/>
          <w:color w:val="000000"/>
          <w:spacing w:val="6"/>
          <w:sz w:val="24"/>
          <w:szCs w:val="24"/>
        </w:rPr>
        <w:t>microaggressions</w:t>
      </w:r>
      <w:proofErr w:type="spellEnd"/>
      <w:r w:rsidRPr="00C37C16">
        <w:rPr>
          <w:rFonts w:ascii="inherit" w:eastAsia="Times New Roman" w:hAnsi="inherit" w:cs="Times New Roman"/>
          <w:color w:val="000000"/>
          <w:spacing w:val="6"/>
          <w:sz w:val="24"/>
          <w:szCs w:val="24"/>
        </w:rPr>
        <w:t xml:space="preserve"> by finding mentors, creating affinity groups, and connecting with social networking support circles.” Sometimes, we find ourselves isolated and alone. Sometimes, we wonder whether we are imposters. This is not our fault, of course. Institutions need to change. During this still perilous period, however, we will be challenged. Having just one or two allies, whether we share demographic affinity with them or not, can make a significant difference. Ideally, over time, we endeavor to create a larger network of allies and mentors. As </w:t>
      </w:r>
      <w:hyperlink r:id="rId15" w:history="1">
        <w:r w:rsidRPr="00C37C16">
          <w:rPr>
            <w:rFonts w:ascii="inherit" w:eastAsia="Times New Roman" w:hAnsi="inherit" w:cs="Times New Roman"/>
            <w:color w:val="018DC2"/>
            <w:spacing w:val="6"/>
            <w:sz w:val="24"/>
            <w:szCs w:val="24"/>
            <w:bdr w:val="none" w:sz="0" w:space="0" w:color="auto" w:frame="1"/>
          </w:rPr>
          <w:t xml:space="preserve">Kerry Ann </w:t>
        </w:r>
        <w:proofErr w:type="spellStart"/>
        <w:r w:rsidRPr="00C37C16">
          <w:rPr>
            <w:rFonts w:ascii="inherit" w:eastAsia="Times New Roman" w:hAnsi="inherit" w:cs="Times New Roman"/>
            <w:color w:val="018DC2"/>
            <w:spacing w:val="6"/>
            <w:sz w:val="24"/>
            <w:szCs w:val="24"/>
            <w:bdr w:val="none" w:sz="0" w:space="0" w:color="auto" w:frame="1"/>
          </w:rPr>
          <w:t>Rockquemore</w:t>
        </w:r>
        <w:proofErr w:type="spellEnd"/>
      </w:hyperlink>
      <w:r w:rsidRPr="00C37C16">
        <w:rPr>
          <w:rFonts w:ascii="inherit" w:eastAsia="Times New Roman" w:hAnsi="inherit" w:cs="Times New Roman"/>
          <w:color w:val="000000"/>
          <w:spacing w:val="6"/>
          <w:sz w:val="24"/>
          <w:szCs w:val="24"/>
        </w:rPr>
        <w:t> advises, “When it comes to mentoring, the more the merrier.”</w:t>
      </w:r>
    </w:p>
    <w:p w:rsidR="00C37C16" w:rsidRDefault="00C37C16" w:rsidP="00C37C16">
      <w:pPr>
        <w:shd w:val="clear" w:color="auto" w:fill="FFFFFF"/>
        <w:spacing w:after="0" w:line="240" w:lineRule="auto"/>
        <w:textAlignment w:val="baseline"/>
        <w:rPr>
          <w:rFonts w:ascii="inherit" w:eastAsia="Times New Roman" w:hAnsi="inherit" w:cs="Times New Roman"/>
          <w:color w:val="000000"/>
          <w:spacing w:val="6"/>
          <w:sz w:val="24"/>
          <w:szCs w:val="24"/>
        </w:rPr>
      </w:pPr>
      <w:r w:rsidRPr="00C37C16">
        <w:rPr>
          <w:rFonts w:ascii="inherit" w:eastAsia="Times New Roman" w:hAnsi="inherit" w:cs="Times New Roman"/>
          <w:color w:val="000000"/>
          <w:spacing w:val="6"/>
          <w:sz w:val="24"/>
          <w:szCs w:val="24"/>
        </w:rPr>
        <w:t>In our </w:t>
      </w:r>
      <w:hyperlink r:id="rId16" w:history="1">
        <w:r w:rsidRPr="00C37C16">
          <w:rPr>
            <w:rFonts w:ascii="inherit" w:eastAsia="Times New Roman" w:hAnsi="inherit" w:cs="Times New Roman"/>
            <w:color w:val="018DC2"/>
            <w:spacing w:val="6"/>
            <w:sz w:val="24"/>
            <w:szCs w:val="24"/>
            <w:bdr w:val="none" w:sz="0" w:space="0" w:color="auto" w:frame="1"/>
          </w:rPr>
          <w:t>article</w:t>
        </w:r>
      </w:hyperlink>
      <w:r w:rsidRPr="00C37C16">
        <w:rPr>
          <w:rFonts w:ascii="inherit" w:eastAsia="Times New Roman" w:hAnsi="inherit" w:cs="Times New Roman"/>
          <w:color w:val="000000"/>
          <w:spacing w:val="6"/>
          <w:sz w:val="24"/>
          <w:szCs w:val="24"/>
        </w:rPr>
        <w:t xml:space="preserve"> that reviews the kinds of considerations we must make when deciding whether and how to engage with a </w:t>
      </w:r>
      <w:proofErr w:type="spellStart"/>
      <w:r w:rsidRPr="00C37C16">
        <w:rPr>
          <w:rFonts w:ascii="inherit" w:eastAsia="Times New Roman" w:hAnsi="inherit" w:cs="Times New Roman"/>
          <w:color w:val="000000"/>
          <w:spacing w:val="6"/>
          <w:sz w:val="24"/>
          <w:szCs w:val="24"/>
        </w:rPr>
        <w:t>microaggressor</w:t>
      </w:r>
      <w:proofErr w:type="spellEnd"/>
      <w:r w:rsidRPr="00C37C16">
        <w:rPr>
          <w:rFonts w:ascii="inherit" w:eastAsia="Times New Roman" w:hAnsi="inherit" w:cs="Times New Roman"/>
          <w:color w:val="000000"/>
          <w:spacing w:val="6"/>
          <w:sz w:val="24"/>
          <w:szCs w:val="24"/>
        </w:rPr>
        <w:t xml:space="preserve">, we name “aggressor characteristics,” “environmental conditions,” “personal conditions,” and “relational conditions.” Ideally, when confronted with a </w:t>
      </w:r>
      <w:proofErr w:type="spellStart"/>
      <w:r w:rsidRPr="00C37C16">
        <w:rPr>
          <w:rFonts w:ascii="inherit" w:eastAsia="Times New Roman" w:hAnsi="inherit" w:cs="Times New Roman"/>
          <w:color w:val="000000"/>
          <w:spacing w:val="6"/>
          <w:sz w:val="24"/>
          <w:szCs w:val="24"/>
        </w:rPr>
        <w:t>microaggression</w:t>
      </w:r>
      <w:proofErr w:type="spellEnd"/>
      <w:r w:rsidRPr="00C37C16">
        <w:rPr>
          <w:rFonts w:ascii="inherit" w:eastAsia="Times New Roman" w:hAnsi="inherit" w:cs="Times New Roman"/>
          <w:color w:val="000000"/>
          <w:spacing w:val="6"/>
          <w:sz w:val="24"/>
          <w:szCs w:val="24"/>
        </w:rPr>
        <w:t>, we will have relational conditions in our favor. That means proactively creating relationships with allies.</w:t>
      </w:r>
    </w:p>
    <w:p w:rsidR="00C37C16" w:rsidRPr="00C37C16" w:rsidRDefault="00C37C16" w:rsidP="00C37C16">
      <w:pPr>
        <w:shd w:val="clear" w:color="auto" w:fill="FFFFFF"/>
        <w:spacing w:after="0" w:line="240" w:lineRule="auto"/>
        <w:textAlignment w:val="baseline"/>
        <w:rPr>
          <w:rFonts w:ascii="inherit" w:eastAsia="Times New Roman" w:hAnsi="inherit" w:cs="Times New Roman"/>
          <w:color w:val="000000"/>
          <w:spacing w:val="6"/>
          <w:sz w:val="24"/>
          <w:szCs w:val="24"/>
        </w:rPr>
      </w:pPr>
    </w:p>
    <w:p w:rsidR="00C37C16" w:rsidRPr="00C37C16" w:rsidRDefault="00C37C16" w:rsidP="00A11CA7">
      <w:pPr>
        <w:pStyle w:val="Heading2"/>
        <w:rPr>
          <w:rFonts w:ascii="Alegreya Sans" w:hAnsi="Alegreya Sans"/>
        </w:rPr>
      </w:pPr>
      <w:r w:rsidRPr="00C37C16">
        <w:rPr>
          <w:bdr w:val="none" w:sz="0" w:space="0" w:color="auto" w:frame="1"/>
        </w:rPr>
        <w:t xml:space="preserve">Performing </w:t>
      </w:r>
      <w:proofErr w:type="spellStart"/>
      <w:r w:rsidRPr="00C37C16">
        <w:rPr>
          <w:bdr w:val="none" w:sz="0" w:space="0" w:color="auto" w:frame="1"/>
        </w:rPr>
        <w:t>microaffirmation</w:t>
      </w:r>
      <w:proofErr w:type="spellEnd"/>
    </w:p>
    <w:p w:rsidR="00C37C16" w:rsidRDefault="00C37C16" w:rsidP="00C37C16">
      <w:pPr>
        <w:shd w:val="clear" w:color="auto" w:fill="FFFFFF"/>
        <w:spacing w:after="0" w:line="240" w:lineRule="auto"/>
        <w:textAlignment w:val="baseline"/>
        <w:rPr>
          <w:rFonts w:ascii="inherit" w:eastAsia="Times New Roman" w:hAnsi="inherit" w:cs="Times New Roman"/>
          <w:color w:val="000000"/>
          <w:spacing w:val="6"/>
          <w:sz w:val="24"/>
          <w:szCs w:val="24"/>
        </w:rPr>
      </w:pPr>
    </w:p>
    <w:p w:rsidR="00C37C16" w:rsidRPr="00C37C16" w:rsidRDefault="00C37C16" w:rsidP="00C37C16">
      <w:pPr>
        <w:shd w:val="clear" w:color="auto" w:fill="FFFFFF"/>
        <w:spacing w:after="0" w:line="240" w:lineRule="auto"/>
        <w:textAlignment w:val="baseline"/>
        <w:rPr>
          <w:rFonts w:ascii="inherit" w:eastAsia="Times New Roman" w:hAnsi="inherit" w:cs="Times New Roman"/>
          <w:color w:val="000000"/>
          <w:spacing w:val="6"/>
          <w:sz w:val="24"/>
          <w:szCs w:val="24"/>
        </w:rPr>
      </w:pPr>
      <w:r w:rsidRPr="00C37C16">
        <w:rPr>
          <w:rFonts w:ascii="inherit" w:eastAsia="Times New Roman" w:hAnsi="inherit" w:cs="Times New Roman"/>
          <w:color w:val="000000"/>
          <w:spacing w:val="6"/>
          <w:sz w:val="24"/>
          <w:szCs w:val="24"/>
        </w:rPr>
        <w:t xml:space="preserve">Like network building, </w:t>
      </w:r>
      <w:proofErr w:type="spellStart"/>
      <w:r w:rsidRPr="00C37C16">
        <w:rPr>
          <w:rFonts w:ascii="inherit" w:eastAsia="Times New Roman" w:hAnsi="inherit" w:cs="Times New Roman"/>
          <w:color w:val="000000"/>
          <w:spacing w:val="6"/>
          <w:sz w:val="24"/>
          <w:szCs w:val="24"/>
        </w:rPr>
        <w:t>microaffirmation</w:t>
      </w:r>
      <w:proofErr w:type="spellEnd"/>
      <w:r w:rsidRPr="00C37C16">
        <w:rPr>
          <w:rFonts w:ascii="inherit" w:eastAsia="Times New Roman" w:hAnsi="inherit" w:cs="Times New Roman"/>
          <w:color w:val="000000"/>
          <w:spacing w:val="6"/>
          <w:sz w:val="24"/>
          <w:szCs w:val="24"/>
        </w:rPr>
        <w:t xml:space="preserve"> is a capacity-building, </w:t>
      </w:r>
      <w:proofErr w:type="spellStart"/>
      <w:r w:rsidRPr="00C37C16">
        <w:rPr>
          <w:rFonts w:ascii="inherit" w:eastAsia="Times New Roman" w:hAnsi="inherit" w:cs="Times New Roman"/>
          <w:color w:val="000000"/>
          <w:spacing w:val="6"/>
          <w:sz w:val="24"/>
          <w:szCs w:val="24"/>
        </w:rPr>
        <w:t>microresistant</w:t>
      </w:r>
      <w:proofErr w:type="spellEnd"/>
      <w:r w:rsidRPr="00C37C16">
        <w:rPr>
          <w:rFonts w:ascii="inherit" w:eastAsia="Times New Roman" w:hAnsi="inherit" w:cs="Times New Roman"/>
          <w:color w:val="000000"/>
          <w:spacing w:val="6"/>
          <w:sz w:val="24"/>
          <w:szCs w:val="24"/>
        </w:rPr>
        <w:t xml:space="preserve"> practice that shifts the emphasis from the personal to the interpersonal. </w:t>
      </w:r>
      <w:hyperlink r:id="rId17" w:history="1">
        <w:r w:rsidRPr="00C37C16">
          <w:rPr>
            <w:rFonts w:ascii="inherit" w:eastAsia="Times New Roman" w:hAnsi="inherit" w:cs="Times New Roman"/>
            <w:color w:val="018DC2"/>
            <w:spacing w:val="6"/>
            <w:sz w:val="24"/>
            <w:szCs w:val="24"/>
            <w:bdr w:val="none" w:sz="0" w:space="0" w:color="auto" w:frame="1"/>
          </w:rPr>
          <w:t>Mary Rowe</w:t>
        </w:r>
      </w:hyperlink>
      <w:r w:rsidRPr="00C37C16">
        <w:rPr>
          <w:rFonts w:ascii="inherit" w:eastAsia="Times New Roman" w:hAnsi="inherit" w:cs="Times New Roman"/>
          <w:color w:val="000000"/>
          <w:spacing w:val="6"/>
          <w:sz w:val="24"/>
          <w:szCs w:val="24"/>
        </w:rPr>
        <w:t xml:space="preserve"> has been promoting </w:t>
      </w:r>
      <w:proofErr w:type="spellStart"/>
      <w:r w:rsidRPr="00C37C16">
        <w:rPr>
          <w:rFonts w:ascii="inherit" w:eastAsia="Times New Roman" w:hAnsi="inherit" w:cs="Times New Roman"/>
          <w:color w:val="000000"/>
          <w:spacing w:val="6"/>
          <w:sz w:val="24"/>
          <w:szCs w:val="24"/>
        </w:rPr>
        <w:t>microaffirmations</w:t>
      </w:r>
      <w:proofErr w:type="spellEnd"/>
      <w:r w:rsidRPr="00C37C16">
        <w:rPr>
          <w:rFonts w:ascii="inherit" w:eastAsia="Times New Roman" w:hAnsi="inherit" w:cs="Times New Roman"/>
          <w:color w:val="000000"/>
          <w:spacing w:val="6"/>
          <w:sz w:val="24"/>
          <w:szCs w:val="24"/>
        </w:rPr>
        <w:t xml:space="preserve"> for years. She describes them as “tiny acts of opening doors to opportunity, gestures of inclusion and caring, and graceful acts of listening.” Small acts of kindness including expressing appreciation, offering to listen, and giving credit where credit is due can build up others who face </w:t>
      </w:r>
      <w:proofErr w:type="spellStart"/>
      <w:r w:rsidRPr="00C37C16">
        <w:rPr>
          <w:rFonts w:ascii="inherit" w:eastAsia="Times New Roman" w:hAnsi="inherit" w:cs="Times New Roman"/>
          <w:color w:val="000000"/>
          <w:spacing w:val="6"/>
          <w:sz w:val="24"/>
          <w:szCs w:val="24"/>
        </w:rPr>
        <w:t>microaggressions</w:t>
      </w:r>
      <w:proofErr w:type="spellEnd"/>
      <w:r w:rsidRPr="00C37C16">
        <w:rPr>
          <w:rFonts w:ascii="inherit" w:eastAsia="Times New Roman" w:hAnsi="inherit" w:cs="Times New Roman"/>
          <w:color w:val="000000"/>
          <w:spacing w:val="6"/>
          <w:sz w:val="24"/>
          <w:szCs w:val="24"/>
        </w:rPr>
        <w:t>, reinforce our own agency, and help develop a network of collaborators when the storm comes. All boats can survive if they are properly maintained and tied to one another for mutual support.</w:t>
      </w:r>
    </w:p>
    <w:p w:rsidR="00C37C16" w:rsidRPr="00C37C16" w:rsidRDefault="00C37C16" w:rsidP="00C37C16">
      <w:pPr>
        <w:shd w:val="clear" w:color="auto" w:fill="FFFFFF"/>
        <w:spacing w:after="0" w:line="240" w:lineRule="auto"/>
        <w:textAlignment w:val="baseline"/>
        <w:rPr>
          <w:rFonts w:ascii="inherit" w:eastAsia="Times New Roman" w:hAnsi="inherit" w:cs="Times New Roman"/>
          <w:color w:val="000000"/>
          <w:spacing w:val="6"/>
          <w:sz w:val="24"/>
          <w:szCs w:val="24"/>
        </w:rPr>
      </w:pPr>
      <w:r w:rsidRPr="00C37C16">
        <w:rPr>
          <w:rFonts w:ascii="inherit" w:eastAsia="Times New Roman" w:hAnsi="inherit" w:cs="Times New Roman"/>
          <w:color w:val="000000"/>
          <w:spacing w:val="6"/>
          <w:sz w:val="24"/>
          <w:szCs w:val="24"/>
        </w:rPr>
        <w:t xml:space="preserve">While individuals can make a difference practicing </w:t>
      </w:r>
      <w:proofErr w:type="spellStart"/>
      <w:r w:rsidRPr="00C37C16">
        <w:rPr>
          <w:rFonts w:ascii="inherit" w:eastAsia="Times New Roman" w:hAnsi="inherit" w:cs="Times New Roman"/>
          <w:color w:val="000000"/>
          <w:spacing w:val="6"/>
          <w:sz w:val="24"/>
          <w:szCs w:val="24"/>
        </w:rPr>
        <w:t>microaffirmation</w:t>
      </w:r>
      <w:proofErr w:type="spellEnd"/>
      <w:r w:rsidRPr="00C37C16">
        <w:rPr>
          <w:rFonts w:ascii="inherit" w:eastAsia="Times New Roman" w:hAnsi="inherit" w:cs="Times New Roman"/>
          <w:color w:val="000000"/>
          <w:spacing w:val="6"/>
          <w:sz w:val="24"/>
          <w:szCs w:val="24"/>
        </w:rPr>
        <w:t>, </w:t>
      </w:r>
      <w:hyperlink r:id="rId18" w:history="1">
        <w:r w:rsidRPr="00C37C16">
          <w:rPr>
            <w:rFonts w:ascii="inherit" w:eastAsia="Times New Roman" w:hAnsi="inherit" w:cs="Times New Roman"/>
            <w:color w:val="018DC2"/>
            <w:spacing w:val="6"/>
            <w:sz w:val="24"/>
            <w:szCs w:val="24"/>
            <w:bdr w:val="none" w:sz="0" w:space="0" w:color="auto" w:frame="1"/>
          </w:rPr>
          <w:t>Katherine Rowe</w:t>
        </w:r>
      </w:hyperlink>
      <w:r w:rsidRPr="00C37C16">
        <w:rPr>
          <w:rFonts w:ascii="inherit" w:eastAsia="Times New Roman" w:hAnsi="inherit" w:cs="Times New Roman"/>
          <w:color w:val="000000"/>
          <w:spacing w:val="6"/>
          <w:sz w:val="24"/>
          <w:szCs w:val="24"/>
        </w:rPr>
        <w:t xml:space="preserve"> observes that whole teams, departments, and institutions could “foster a culture of </w:t>
      </w:r>
      <w:proofErr w:type="spellStart"/>
      <w:r w:rsidRPr="00C37C16">
        <w:rPr>
          <w:rFonts w:ascii="inherit" w:eastAsia="Times New Roman" w:hAnsi="inherit" w:cs="Times New Roman"/>
          <w:color w:val="000000"/>
          <w:spacing w:val="6"/>
          <w:sz w:val="24"/>
          <w:szCs w:val="24"/>
        </w:rPr>
        <w:t>microaffirmations</w:t>
      </w:r>
      <w:proofErr w:type="spellEnd"/>
      <w:r w:rsidRPr="00C37C16">
        <w:rPr>
          <w:rFonts w:ascii="inherit" w:eastAsia="Times New Roman" w:hAnsi="inherit" w:cs="Times New Roman"/>
          <w:color w:val="000000"/>
          <w:spacing w:val="6"/>
          <w:sz w:val="24"/>
          <w:szCs w:val="24"/>
        </w:rPr>
        <w:t>.” In what ways might we normalize small-scale, prosocial behaviors in our spheres of influence?</w:t>
      </w:r>
    </w:p>
    <w:p w:rsidR="00A11CA7" w:rsidRDefault="00A11CA7" w:rsidP="00C37C16">
      <w:pPr>
        <w:shd w:val="clear" w:color="auto" w:fill="FFFFFF"/>
        <w:spacing w:after="300" w:line="240" w:lineRule="auto"/>
        <w:textAlignment w:val="baseline"/>
        <w:rPr>
          <w:rFonts w:ascii="inherit" w:eastAsia="Times New Roman" w:hAnsi="inherit" w:cs="Times New Roman"/>
          <w:color w:val="000000"/>
          <w:spacing w:val="6"/>
          <w:sz w:val="24"/>
          <w:szCs w:val="24"/>
        </w:rPr>
      </w:pPr>
    </w:p>
    <w:p w:rsidR="00C37C16" w:rsidRPr="00C37C16" w:rsidRDefault="00C37C16" w:rsidP="00C37C16">
      <w:pPr>
        <w:shd w:val="clear" w:color="auto" w:fill="FFFFFF"/>
        <w:spacing w:after="300" w:line="240" w:lineRule="auto"/>
        <w:textAlignment w:val="baseline"/>
        <w:rPr>
          <w:rFonts w:ascii="inherit" w:eastAsia="Times New Roman" w:hAnsi="inherit" w:cs="Times New Roman"/>
          <w:color w:val="000000"/>
          <w:spacing w:val="6"/>
          <w:sz w:val="24"/>
          <w:szCs w:val="24"/>
        </w:rPr>
      </w:pPr>
      <w:r w:rsidRPr="00C37C16">
        <w:rPr>
          <w:rFonts w:ascii="inherit" w:eastAsia="Times New Roman" w:hAnsi="inherit" w:cs="Times New Roman"/>
          <w:color w:val="000000"/>
          <w:spacing w:val="6"/>
          <w:sz w:val="24"/>
          <w:szCs w:val="24"/>
        </w:rPr>
        <w:t xml:space="preserve">At Smith College in the fall of 2019, the Office for Equity and Inclusion shared cards that featured words of affirmation with student, staff, and faculty leaders. The office also sprinkled them in public spaces like the campus center. One side says, “If and when the time is right, pass this on.” The other side offers one of ten </w:t>
      </w:r>
      <w:proofErr w:type="spellStart"/>
      <w:r w:rsidRPr="00C37C16">
        <w:rPr>
          <w:rFonts w:ascii="inherit" w:eastAsia="Times New Roman" w:hAnsi="inherit" w:cs="Times New Roman"/>
          <w:color w:val="000000"/>
          <w:spacing w:val="6"/>
          <w:sz w:val="24"/>
          <w:szCs w:val="24"/>
        </w:rPr>
        <w:t>microaffirmations</w:t>
      </w:r>
      <w:proofErr w:type="spellEnd"/>
      <w:r w:rsidRPr="00C37C16">
        <w:rPr>
          <w:rFonts w:ascii="inherit" w:eastAsia="Times New Roman" w:hAnsi="inherit" w:cs="Times New Roman"/>
          <w:color w:val="000000"/>
          <w:spacing w:val="6"/>
          <w:sz w:val="24"/>
          <w:szCs w:val="24"/>
        </w:rPr>
        <w:t xml:space="preserve"> like, “You are rare and wonderful, just as you are” and “Tomorrow is ready for you.” About a month later, </w:t>
      </w:r>
      <w:proofErr w:type="spellStart"/>
      <w:r w:rsidRPr="00C37C16">
        <w:rPr>
          <w:rFonts w:ascii="inherit" w:eastAsia="Times New Roman" w:hAnsi="inherit" w:cs="Times New Roman"/>
          <w:color w:val="000000"/>
          <w:spacing w:val="6"/>
          <w:sz w:val="24"/>
          <w:szCs w:val="24"/>
        </w:rPr>
        <w:t>chalkings</w:t>
      </w:r>
      <w:proofErr w:type="spellEnd"/>
      <w:r w:rsidRPr="00C37C16">
        <w:rPr>
          <w:rFonts w:ascii="inherit" w:eastAsia="Times New Roman" w:hAnsi="inherit" w:cs="Times New Roman"/>
          <w:color w:val="000000"/>
          <w:spacing w:val="6"/>
          <w:sz w:val="24"/>
          <w:szCs w:val="24"/>
        </w:rPr>
        <w:t xml:space="preserve"> started appearing on campus walkways that read, for example, “You are enough” and “You are not broken. You are breaking through.” We learned later that these were made by a student group. Hence, </w:t>
      </w:r>
      <w:proofErr w:type="spellStart"/>
      <w:r w:rsidRPr="00C37C16">
        <w:rPr>
          <w:rFonts w:ascii="inherit" w:eastAsia="Times New Roman" w:hAnsi="inherit" w:cs="Times New Roman"/>
          <w:color w:val="000000"/>
          <w:spacing w:val="6"/>
          <w:sz w:val="24"/>
          <w:szCs w:val="24"/>
        </w:rPr>
        <w:t>microaffirmations</w:t>
      </w:r>
      <w:proofErr w:type="spellEnd"/>
      <w:r w:rsidRPr="00C37C16">
        <w:rPr>
          <w:rFonts w:ascii="inherit" w:eastAsia="Times New Roman" w:hAnsi="inherit" w:cs="Times New Roman"/>
          <w:color w:val="000000"/>
          <w:spacing w:val="6"/>
          <w:sz w:val="24"/>
          <w:szCs w:val="24"/>
        </w:rPr>
        <w:t xml:space="preserve"> can seep into a campus’ culture.</w:t>
      </w:r>
    </w:p>
    <w:p w:rsidR="00C37C16" w:rsidRPr="00C37C16" w:rsidRDefault="00C37C16" w:rsidP="00C37C16">
      <w:pPr>
        <w:shd w:val="clear" w:color="auto" w:fill="FFFFFF"/>
        <w:spacing w:after="0" w:line="240" w:lineRule="auto"/>
        <w:textAlignment w:val="baseline"/>
        <w:rPr>
          <w:rFonts w:ascii="inherit" w:eastAsia="Times New Roman" w:hAnsi="inherit" w:cs="Times New Roman"/>
          <w:color w:val="000000"/>
          <w:spacing w:val="6"/>
          <w:sz w:val="24"/>
          <w:szCs w:val="24"/>
        </w:rPr>
      </w:pPr>
      <w:r w:rsidRPr="00C37C16">
        <w:rPr>
          <w:rFonts w:ascii="inherit" w:eastAsia="Times New Roman" w:hAnsi="inherit" w:cs="Times New Roman"/>
          <w:color w:val="000000"/>
          <w:spacing w:val="6"/>
          <w:sz w:val="24"/>
          <w:szCs w:val="24"/>
        </w:rPr>
        <w:lastRenderedPageBreak/>
        <w:t xml:space="preserve">After shoring up our personal and interpersonal resources, we are in a better position when faced with </w:t>
      </w:r>
      <w:proofErr w:type="spellStart"/>
      <w:r w:rsidRPr="00C37C16">
        <w:rPr>
          <w:rFonts w:ascii="inherit" w:eastAsia="Times New Roman" w:hAnsi="inherit" w:cs="Times New Roman"/>
          <w:color w:val="000000"/>
          <w:spacing w:val="6"/>
          <w:sz w:val="24"/>
          <w:szCs w:val="24"/>
        </w:rPr>
        <w:t>microaggressions</w:t>
      </w:r>
      <w:proofErr w:type="spellEnd"/>
      <w:r w:rsidRPr="00C37C16">
        <w:rPr>
          <w:rFonts w:ascii="inherit" w:eastAsia="Times New Roman" w:hAnsi="inherit" w:cs="Times New Roman"/>
          <w:color w:val="000000"/>
          <w:spacing w:val="6"/>
          <w:sz w:val="24"/>
          <w:szCs w:val="24"/>
        </w:rPr>
        <w:t xml:space="preserve">. Rather than just hoping for the best and reacting as well as we can in the moment, proactive </w:t>
      </w:r>
      <w:proofErr w:type="spellStart"/>
      <w:r w:rsidRPr="00C37C16">
        <w:rPr>
          <w:rFonts w:ascii="inherit" w:eastAsia="Times New Roman" w:hAnsi="inherit" w:cs="Times New Roman"/>
          <w:color w:val="000000"/>
          <w:spacing w:val="6"/>
          <w:sz w:val="24"/>
          <w:szCs w:val="24"/>
        </w:rPr>
        <w:t>microresistance</w:t>
      </w:r>
      <w:proofErr w:type="spellEnd"/>
      <w:r w:rsidRPr="00C37C16">
        <w:rPr>
          <w:rFonts w:ascii="inherit" w:eastAsia="Times New Roman" w:hAnsi="inherit" w:cs="Times New Roman"/>
          <w:color w:val="000000"/>
          <w:spacing w:val="6"/>
          <w:sz w:val="24"/>
          <w:szCs w:val="24"/>
        </w:rPr>
        <w:t xml:space="preserve"> strategies can prepare us for the inevitable and normalize supportive behaviors that build </w:t>
      </w:r>
      <w:hyperlink r:id="rId19" w:history="1">
        <w:r w:rsidRPr="00C37C16">
          <w:rPr>
            <w:rFonts w:ascii="inherit" w:eastAsia="Times New Roman" w:hAnsi="inherit" w:cs="Times New Roman"/>
            <w:color w:val="018DC2"/>
            <w:spacing w:val="6"/>
            <w:sz w:val="24"/>
            <w:szCs w:val="24"/>
            <w:bdr w:val="none" w:sz="0" w:space="0" w:color="auto" w:frame="1"/>
          </w:rPr>
          <w:t>“the beloved community”</w:t>
        </w:r>
      </w:hyperlink>
      <w:r w:rsidRPr="00C37C16">
        <w:rPr>
          <w:rFonts w:ascii="inherit" w:eastAsia="Times New Roman" w:hAnsi="inherit" w:cs="Times New Roman"/>
          <w:color w:val="000000"/>
          <w:spacing w:val="6"/>
          <w:sz w:val="24"/>
          <w:szCs w:val="24"/>
        </w:rPr>
        <w:t>, one small act at a time.</w:t>
      </w:r>
    </w:p>
    <w:p w:rsidR="00C37C16" w:rsidRPr="00C37C16" w:rsidRDefault="00C37C16" w:rsidP="00C37C16">
      <w:pPr>
        <w:shd w:val="clear" w:color="auto" w:fill="FFFFFF"/>
        <w:spacing w:after="0" w:line="240" w:lineRule="auto"/>
        <w:textAlignment w:val="baseline"/>
        <w:rPr>
          <w:rFonts w:ascii="inherit" w:eastAsia="Times New Roman" w:hAnsi="inherit" w:cs="Times New Roman"/>
          <w:color w:val="000000"/>
          <w:spacing w:val="6"/>
          <w:sz w:val="24"/>
          <w:szCs w:val="24"/>
        </w:rPr>
      </w:pPr>
      <w:r w:rsidRPr="00C37C16">
        <w:rPr>
          <w:rFonts w:ascii="inherit" w:eastAsia="Times New Roman" w:hAnsi="inherit" w:cs="Times New Roman"/>
          <w:color w:val="000000"/>
          <w:spacing w:val="6"/>
          <w:sz w:val="24"/>
          <w:szCs w:val="24"/>
        </w:rPr>
        <w:pict>
          <v:rect id="_x0000_i1025" style="width:0;height:.75pt" o:hralign="center" o:hrstd="t" o:hrnoshade="t" o:hr="t" fillcolor="black" stroked="f"/>
        </w:pict>
      </w:r>
    </w:p>
    <w:p w:rsidR="00C37C16" w:rsidRPr="00C37C16" w:rsidRDefault="00C37C16" w:rsidP="00C37C16">
      <w:pPr>
        <w:shd w:val="clear" w:color="auto" w:fill="FFFFFF"/>
        <w:spacing w:after="0" w:line="240" w:lineRule="auto"/>
        <w:textAlignment w:val="baseline"/>
        <w:rPr>
          <w:rFonts w:ascii="inherit" w:eastAsia="Times New Roman" w:hAnsi="inherit" w:cs="Times New Roman"/>
          <w:color w:val="000000"/>
          <w:spacing w:val="6"/>
          <w:sz w:val="24"/>
          <w:szCs w:val="24"/>
        </w:rPr>
      </w:pPr>
      <w:r w:rsidRPr="00C37C16">
        <w:rPr>
          <w:rFonts w:ascii="inherit" w:eastAsia="Times New Roman" w:hAnsi="inherit" w:cs="Times New Roman"/>
          <w:i/>
          <w:iCs/>
          <w:color w:val="000000"/>
          <w:spacing w:val="6"/>
          <w:sz w:val="24"/>
          <w:szCs w:val="24"/>
          <w:bdr w:val="none" w:sz="0" w:space="0" w:color="auto" w:frame="1"/>
        </w:rPr>
        <w:t>Floyd Cheung is vice president for equity and inclusion, and professor of English and American studies at Smith College.</w:t>
      </w:r>
    </w:p>
    <w:p w:rsidR="00C37C16" w:rsidRPr="00C37C16" w:rsidRDefault="00C37C16" w:rsidP="00C37C16">
      <w:pPr>
        <w:shd w:val="clear" w:color="auto" w:fill="FFFFFF"/>
        <w:spacing w:after="0" w:line="240" w:lineRule="auto"/>
        <w:textAlignment w:val="baseline"/>
        <w:rPr>
          <w:rFonts w:ascii="inherit" w:eastAsia="Times New Roman" w:hAnsi="inherit" w:cs="Times New Roman"/>
          <w:color w:val="000000"/>
          <w:spacing w:val="6"/>
          <w:sz w:val="24"/>
          <w:szCs w:val="24"/>
        </w:rPr>
      </w:pPr>
      <w:r w:rsidRPr="00C37C16">
        <w:rPr>
          <w:rFonts w:ascii="inherit" w:eastAsia="Times New Roman" w:hAnsi="inherit" w:cs="Times New Roman"/>
          <w:i/>
          <w:iCs/>
          <w:color w:val="000000"/>
          <w:spacing w:val="6"/>
          <w:sz w:val="24"/>
          <w:szCs w:val="24"/>
          <w:bdr w:val="none" w:sz="0" w:space="0" w:color="auto" w:frame="1"/>
        </w:rPr>
        <w:t xml:space="preserve">Cynthia </w:t>
      </w:r>
      <w:proofErr w:type="spellStart"/>
      <w:r w:rsidRPr="00C37C16">
        <w:rPr>
          <w:rFonts w:ascii="inherit" w:eastAsia="Times New Roman" w:hAnsi="inherit" w:cs="Times New Roman"/>
          <w:i/>
          <w:iCs/>
          <w:color w:val="000000"/>
          <w:spacing w:val="6"/>
          <w:sz w:val="24"/>
          <w:szCs w:val="24"/>
          <w:bdr w:val="none" w:sz="0" w:space="0" w:color="auto" w:frame="1"/>
        </w:rPr>
        <w:t>Ganote</w:t>
      </w:r>
      <w:proofErr w:type="spellEnd"/>
      <w:r w:rsidRPr="00C37C16">
        <w:rPr>
          <w:rFonts w:ascii="inherit" w:eastAsia="Times New Roman" w:hAnsi="inherit" w:cs="Times New Roman"/>
          <w:i/>
          <w:iCs/>
          <w:color w:val="000000"/>
          <w:spacing w:val="6"/>
          <w:sz w:val="24"/>
          <w:szCs w:val="24"/>
          <w:bdr w:val="none" w:sz="0" w:space="0" w:color="auto" w:frame="1"/>
        </w:rPr>
        <w:t xml:space="preserve"> is a faculty member in the department of sociology at the University of Louisville. She also serves as a facilitator, workshop leader, and invited speaker on diversity, equity, and inclusion issues in higher education.</w:t>
      </w:r>
    </w:p>
    <w:p w:rsidR="00C37C16" w:rsidRPr="00C37C16" w:rsidRDefault="00C37C16" w:rsidP="00C37C16">
      <w:pPr>
        <w:shd w:val="clear" w:color="auto" w:fill="FFFFFF"/>
        <w:spacing w:after="0" w:line="240" w:lineRule="auto"/>
        <w:textAlignment w:val="baseline"/>
        <w:rPr>
          <w:rFonts w:ascii="inherit" w:eastAsia="Times New Roman" w:hAnsi="inherit" w:cs="Times New Roman"/>
          <w:color w:val="000000"/>
          <w:spacing w:val="6"/>
          <w:sz w:val="24"/>
          <w:szCs w:val="24"/>
        </w:rPr>
      </w:pPr>
      <w:r w:rsidRPr="00C37C16">
        <w:rPr>
          <w:rFonts w:ascii="inherit" w:eastAsia="Times New Roman" w:hAnsi="inherit" w:cs="Times New Roman"/>
          <w:i/>
          <w:iCs/>
          <w:color w:val="000000"/>
          <w:spacing w:val="6"/>
          <w:sz w:val="24"/>
          <w:szCs w:val="24"/>
          <w:bdr w:val="none" w:sz="0" w:space="0" w:color="auto" w:frame="1"/>
        </w:rPr>
        <w:t>Tasha Souza is the director of BUILD (Boise State Uniting for Inclusion and Leadership in Diversity) and professor of communication at Boise State University.</w:t>
      </w:r>
    </w:p>
    <w:p w:rsidR="00C37C16" w:rsidRDefault="00C37C16" w:rsidP="00C37C16">
      <w:pPr>
        <w:shd w:val="clear" w:color="auto" w:fill="FFFFFF"/>
        <w:spacing w:after="0" w:line="240" w:lineRule="auto"/>
        <w:textAlignment w:val="baseline"/>
        <w:rPr>
          <w:rFonts w:ascii="inherit" w:eastAsia="Times New Roman" w:hAnsi="inherit" w:cs="Times New Roman"/>
          <w:b/>
          <w:bCs/>
          <w:color w:val="000000"/>
          <w:spacing w:val="6"/>
          <w:sz w:val="24"/>
          <w:szCs w:val="24"/>
          <w:bdr w:val="none" w:sz="0" w:space="0" w:color="auto" w:frame="1"/>
        </w:rPr>
      </w:pPr>
    </w:p>
    <w:p w:rsidR="00C37C16" w:rsidRDefault="00C37C16" w:rsidP="00A11CA7">
      <w:pPr>
        <w:pStyle w:val="Heading2"/>
        <w:rPr>
          <w:bdr w:val="none" w:sz="0" w:space="0" w:color="auto" w:frame="1"/>
        </w:rPr>
      </w:pPr>
      <w:r w:rsidRPr="00C37C16">
        <w:rPr>
          <w:bdr w:val="none" w:sz="0" w:space="0" w:color="auto" w:frame="1"/>
        </w:rPr>
        <w:t>References:</w:t>
      </w:r>
    </w:p>
    <w:p w:rsidR="00A11CA7" w:rsidRPr="00C37C16" w:rsidRDefault="00A11CA7" w:rsidP="00C37C16">
      <w:pPr>
        <w:shd w:val="clear" w:color="auto" w:fill="FFFFFF"/>
        <w:spacing w:after="0" w:line="240" w:lineRule="auto"/>
        <w:textAlignment w:val="baseline"/>
        <w:rPr>
          <w:rFonts w:ascii="inherit" w:eastAsia="Times New Roman" w:hAnsi="inherit" w:cs="Times New Roman"/>
          <w:color w:val="000000"/>
          <w:spacing w:val="6"/>
          <w:sz w:val="24"/>
          <w:szCs w:val="24"/>
        </w:rPr>
      </w:pPr>
    </w:p>
    <w:p w:rsidR="00C37C16" w:rsidRPr="00C37C16" w:rsidRDefault="00C37C16" w:rsidP="00C37C16">
      <w:pPr>
        <w:shd w:val="clear" w:color="auto" w:fill="FFFFFF"/>
        <w:spacing w:after="0" w:line="240" w:lineRule="auto"/>
        <w:textAlignment w:val="baseline"/>
        <w:rPr>
          <w:rFonts w:ascii="inherit" w:eastAsia="Times New Roman" w:hAnsi="inherit" w:cs="Times New Roman"/>
          <w:color w:val="000000"/>
          <w:spacing w:val="6"/>
          <w:sz w:val="24"/>
          <w:szCs w:val="24"/>
        </w:rPr>
      </w:pPr>
      <w:r w:rsidRPr="00C37C16">
        <w:rPr>
          <w:rFonts w:ascii="inherit" w:eastAsia="Times New Roman" w:hAnsi="inherit" w:cs="Times New Roman"/>
          <w:color w:val="000000"/>
          <w:spacing w:val="6"/>
          <w:sz w:val="24"/>
          <w:szCs w:val="24"/>
        </w:rPr>
        <w:t>Bowen, J.A. (Dec. 10, 2019). Twitter feed, </w:t>
      </w:r>
      <w:hyperlink r:id="rId20" w:history="1">
        <w:r w:rsidRPr="00C37C16">
          <w:rPr>
            <w:rFonts w:ascii="inherit" w:eastAsia="Times New Roman" w:hAnsi="inherit" w:cs="Times New Roman"/>
            <w:color w:val="018DC2"/>
            <w:spacing w:val="6"/>
            <w:sz w:val="24"/>
            <w:szCs w:val="24"/>
            <w:bdr w:val="none" w:sz="0" w:space="0" w:color="auto" w:frame="1"/>
          </w:rPr>
          <w:t>https://twitter.com/josebowen/status/1204426544539734018</w:t>
        </w:r>
      </w:hyperlink>
    </w:p>
    <w:p w:rsidR="00C37C16" w:rsidRDefault="00C37C16" w:rsidP="00C37C16">
      <w:pPr>
        <w:shd w:val="clear" w:color="auto" w:fill="FFFFFF"/>
        <w:spacing w:after="0" w:line="240" w:lineRule="auto"/>
        <w:textAlignment w:val="baseline"/>
        <w:rPr>
          <w:rFonts w:ascii="inherit" w:eastAsia="Times New Roman" w:hAnsi="inherit" w:cs="Times New Roman"/>
          <w:color w:val="000000"/>
          <w:spacing w:val="6"/>
          <w:sz w:val="24"/>
          <w:szCs w:val="24"/>
        </w:rPr>
      </w:pPr>
    </w:p>
    <w:p w:rsidR="00C37C16" w:rsidRPr="00C37C16" w:rsidRDefault="00C37C16" w:rsidP="00C37C16">
      <w:pPr>
        <w:shd w:val="clear" w:color="auto" w:fill="FFFFFF"/>
        <w:spacing w:after="0" w:line="240" w:lineRule="auto"/>
        <w:textAlignment w:val="baseline"/>
        <w:rPr>
          <w:rFonts w:ascii="inherit" w:eastAsia="Times New Roman" w:hAnsi="inherit" w:cs="Times New Roman"/>
          <w:color w:val="000000"/>
          <w:spacing w:val="6"/>
          <w:sz w:val="24"/>
          <w:szCs w:val="24"/>
        </w:rPr>
      </w:pPr>
      <w:r w:rsidRPr="00C37C16">
        <w:rPr>
          <w:rFonts w:ascii="inherit" w:eastAsia="Times New Roman" w:hAnsi="inherit" w:cs="Times New Roman"/>
          <w:color w:val="000000"/>
          <w:spacing w:val="6"/>
          <w:sz w:val="24"/>
          <w:szCs w:val="24"/>
        </w:rPr>
        <w:t xml:space="preserve">Cheung, F., Souza, T.J., &amp; </w:t>
      </w:r>
      <w:proofErr w:type="spellStart"/>
      <w:r w:rsidRPr="00C37C16">
        <w:rPr>
          <w:rFonts w:ascii="inherit" w:eastAsia="Times New Roman" w:hAnsi="inherit" w:cs="Times New Roman"/>
          <w:color w:val="000000"/>
          <w:spacing w:val="6"/>
          <w:sz w:val="24"/>
          <w:szCs w:val="24"/>
        </w:rPr>
        <w:t>Ganote</w:t>
      </w:r>
      <w:proofErr w:type="spellEnd"/>
      <w:r w:rsidRPr="00C37C16">
        <w:rPr>
          <w:rFonts w:ascii="inherit" w:eastAsia="Times New Roman" w:hAnsi="inherit" w:cs="Times New Roman"/>
          <w:color w:val="000000"/>
          <w:spacing w:val="6"/>
          <w:sz w:val="24"/>
          <w:szCs w:val="24"/>
        </w:rPr>
        <w:t xml:space="preserve">, C. M., (2021). </w:t>
      </w:r>
      <w:proofErr w:type="spellStart"/>
      <w:r w:rsidRPr="00C37C16">
        <w:rPr>
          <w:rFonts w:ascii="inherit" w:eastAsia="Times New Roman" w:hAnsi="inherit" w:cs="Times New Roman"/>
          <w:color w:val="000000"/>
          <w:spacing w:val="6"/>
          <w:sz w:val="24"/>
          <w:szCs w:val="24"/>
        </w:rPr>
        <w:t>Microresistance</w:t>
      </w:r>
      <w:proofErr w:type="spellEnd"/>
      <w:r w:rsidRPr="00C37C16">
        <w:rPr>
          <w:rFonts w:ascii="inherit" w:eastAsia="Times New Roman" w:hAnsi="inherit" w:cs="Times New Roman"/>
          <w:color w:val="000000"/>
          <w:spacing w:val="6"/>
          <w:sz w:val="24"/>
          <w:szCs w:val="24"/>
        </w:rPr>
        <w:t xml:space="preserve"> as a way to respond to </w:t>
      </w:r>
      <w:proofErr w:type="spellStart"/>
      <w:r w:rsidRPr="00C37C16">
        <w:rPr>
          <w:rFonts w:ascii="inherit" w:eastAsia="Times New Roman" w:hAnsi="inherit" w:cs="Times New Roman"/>
          <w:color w:val="000000"/>
          <w:spacing w:val="6"/>
          <w:sz w:val="24"/>
          <w:szCs w:val="24"/>
        </w:rPr>
        <w:t>microaggressions</w:t>
      </w:r>
      <w:proofErr w:type="spellEnd"/>
      <w:r w:rsidRPr="00C37C16">
        <w:rPr>
          <w:rFonts w:ascii="inherit" w:eastAsia="Times New Roman" w:hAnsi="inherit" w:cs="Times New Roman"/>
          <w:color w:val="000000"/>
          <w:spacing w:val="6"/>
          <w:sz w:val="24"/>
          <w:szCs w:val="24"/>
        </w:rPr>
        <w:t xml:space="preserve"> on Zoom and in real life. </w:t>
      </w:r>
      <w:r w:rsidRPr="00C37C16">
        <w:rPr>
          <w:rFonts w:ascii="inherit" w:eastAsia="Times New Roman" w:hAnsi="inherit" w:cs="Times New Roman"/>
          <w:i/>
          <w:iCs/>
          <w:color w:val="000000"/>
          <w:spacing w:val="6"/>
          <w:sz w:val="24"/>
          <w:szCs w:val="24"/>
          <w:bdr w:val="none" w:sz="0" w:space="0" w:color="auto" w:frame="1"/>
        </w:rPr>
        <w:t>Faculty Focus, </w:t>
      </w:r>
      <w:r w:rsidRPr="00C37C16">
        <w:rPr>
          <w:rFonts w:ascii="inherit" w:eastAsia="Times New Roman" w:hAnsi="inherit" w:cs="Times New Roman"/>
          <w:color w:val="000000"/>
          <w:spacing w:val="6"/>
          <w:sz w:val="24"/>
          <w:szCs w:val="24"/>
        </w:rPr>
        <w:t>TKTK</w:t>
      </w:r>
    </w:p>
    <w:p w:rsidR="00C37C16" w:rsidRDefault="00C37C16" w:rsidP="00C37C16">
      <w:pPr>
        <w:shd w:val="clear" w:color="auto" w:fill="FFFFFF"/>
        <w:spacing w:after="0" w:line="240" w:lineRule="auto"/>
        <w:textAlignment w:val="baseline"/>
        <w:rPr>
          <w:rFonts w:ascii="inherit" w:eastAsia="Times New Roman" w:hAnsi="inherit" w:cs="Times New Roman"/>
          <w:color w:val="000000"/>
          <w:spacing w:val="6"/>
          <w:sz w:val="24"/>
          <w:szCs w:val="24"/>
        </w:rPr>
      </w:pPr>
    </w:p>
    <w:p w:rsidR="00C37C16" w:rsidRPr="00C37C16" w:rsidRDefault="00C37C16" w:rsidP="00C37C16">
      <w:pPr>
        <w:shd w:val="clear" w:color="auto" w:fill="FFFFFF"/>
        <w:spacing w:after="0" w:line="240" w:lineRule="auto"/>
        <w:textAlignment w:val="baseline"/>
        <w:rPr>
          <w:rFonts w:ascii="inherit" w:eastAsia="Times New Roman" w:hAnsi="inherit" w:cs="Times New Roman"/>
          <w:color w:val="000000"/>
          <w:spacing w:val="6"/>
          <w:sz w:val="24"/>
          <w:szCs w:val="24"/>
        </w:rPr>
      </w:pPr>
      <w:proofErr w:type="spellStart"/>
      <w:r w:rsidRPr="00C37C16">
        <w:rPr>
          <w:rFonts w:ascii="inherit" w:eastAsia="Times New Roman" w:hAnsi="inherit" w:cs="Times New Roman"/>
          <w:color w:val="000000"/>
          <w:spacing w:val="6"/>
          <w:sz w:val="24"/>
          <w:szCs w:val="24"/>
        </w:rPr>
        <w:t>Ganote</w:t>
      </w:r>
      <w:proofErr w:type="spellEnd"/>
      <w:r w:rsidRPr="00C37C16">
        <w:rPr>
          <w:rFonts w:ascii="inherit" w:eastAsia="Times New Roman" w:hAnsi="inherit" w:cs="Times New Roman"/>
          <w:color w:val="000000"/>
          <w:spacing w:val="6"/>
          <w:sz w:val="24"/>
          <w:szCs w:val="24"/>
        </w:rPr>
        <w:t xml:space="preserve">, C. M., Cheung, F. Souza, T.J. (2016). Responding to </w:t>
      </w:r>
      <w:proofErr w:type="spellStart"/>
      <w:r w:rsidRPr="00C37C16">
        <w:rPr>
          <w:rFonts w:ascii="inherit" w:eastAsia="Times New Roman" w:hAnsi="inherit" w:cs="Times New Roman"/>
          <w:color w:val="000000"/>
          <w:spacing w:val="6"/>
          <w:sz w:val="24"/>
          <w:szCs w:val="24"/>
        </w:rPr>
        <w:t>microaggressions</w:t>
      </w:r>
      <w:proofErr w:type="spellEnd"/>
      <w:r w:rsidRPr="00C37C16">
        <w:rPr>
          <w:rFonts w:ascii="inherit" w:eastAsia="Times New Roman" w:hAnsi="inherit" w:cs="Times New Roman"/>
          <w:color w:val="000000"/>
          <w:spacing w:val="6"/>
          <w:sz w:val="24"/>
          <w:szCs w:val="24"/>
        </w:rPr>
        <w:t xml:space="preserve"> with </w:t>
      </w:r>
      <w:proofErr w:type="spellStart"/>
      <w:r w:rsidRPr="00C37C16">
        <w:rPr>
          <w:rFonts w:ascii="inherit" w:eastAsia="Times New Roman" w:hAnsi="inherit" w:cs="Times New Roman"/>
          <w:color w:val="000000"/>
          <w:spacing w:val="6"/>
          <w:sz w:val="24"/>
          <w:szCs w:val="24"/>
        </w:rPr>
        <w:t>microresistance</w:t>
      </w:r>
      <w:proofErr w:type="spellEnd"/>
      <w:r w:rsidRPr="00C37C16">
        <w:rPr>
          <w:rFonts w:ascii="inherit" w:eastAsia="Times New Roman" w:hAnsi="inherit" w:cs="Times New Roman"/>
          <w:color w:val="000000"/>
          <w:spacing w:val="6"/>
          <w:sz w:val="24"/>
          <w:szCs w:val="24"/>
        </w:rPr>
        <w:t>: A framework for consideration. Featured article in POD Diversity Council White Paper. </w:t>
      </w:r>
      <w:hyperlink r:id="rId21" w:history="1">
        <w:r w:rsidRPr="00C37C16">
          <w:rPr>
            <w:rFonts w:ascii="inherit" w:eastAsia="Times New Roman" w:hAnsi="inherit" w:cs="Times New Roman"/>
            <w:color w:val="018DC2"/>
            <w:spacing w:val="6"/>
            <w:sz w:val="24"/>
            <w:szCs w:val="24"/>
            <w:bdr w:val="none" w:sz="0" w:space="0" w:color="auto" w:frame="1"/>
          </w:rPr>
          <w:t>https://podnetwork.org/content/uploads/DC-white-paper-2016_Final2.pdf</w:t>
        </w:r>
      </w:hyperlink>
    </w:p>
    <w:p w:rsidR="00C37C16" w:rsidRDefault="00C37C16" w:rsidP="00C37C16">
      <w:pPr>
        <w:shd w:val="clear" w:color="auto" w:fill="FFFFFF"/>
        <w:spacing w:after="0" w:line="240" w:lineRule="auto"/>
        <w:textAlignment w:val="baseline"/>
        <w:rPr>
          <w:rFonts w:ascii="inherit" w:eastAsia="Times New Roman" w:hAnsi="inherit" w:cs="Times New Roman"/>
          <w:color w:val="000000"/>
          <w:spacing w:val="6"/>
          <w:sz w:val="24"/>
          <w:szCs w:val="24"/>
        </w:rPr>
      </w:pPr>
    </w:p>
    <w:p w:rsidR="00C37C16" w:rsidRPr="00C37C16" w:rsidRDefault="00C37C16" w:rsidP="00C37C16">
      <w:pPr>
        <w:shd w:val="clear" w:color="auto" w:fill="FFFFFF"/>
        <w:spacing w:after="0" w:line="240" w:lineRule="auto"/>
        <w:textAlignment w:val="baseline"/>
        <w:rPr>
          <w:rFonts w:ascii="inherit" w:eastAsia="Times New Roman" w:hAnsi="inherit" w:cs="Times New Roman"/>
          <w:color w:val="000000"/>
          <w:spacing w:val="6"/>
          <w:sz w:val="24"/>
          <w:szCs w:val="24"/>
        </w:rPr>
      </w:pPr>
      <w:proofErr w:type="spellStart"/>
      <w:r w:rsidRPr="00C37C16">
        <w:rPr>
          <w:rFonts w:ascii="inherit" w:eastAsia="Times New Roman" w:hAnsi="inherit" w:cs="Times New Roman"/>
          <w:color w:val="000000"/>
          <w:spacing w:val="6"/>
          <w:sz w:val="24"/>
          <w:szCs w:val="24"/>
        </w:rPr>
        <w:t>Irey</w:t>
      </w:r>
      <w:proofErr w:type="spellEnd"/>
      <w:r w:rsidRPr="00C37C16">
        <w:rPr>
          <w:rFonts w:ascii="inherit" w:eastAsia="Times New Roman" w:hAnsi="inherit" w:cs="Times New Roman"/>
          <w:color w:val="000000"/>
          <w:spacing w:val="6"/>
          <w:sz w:val="24"/>
          <w:szCs w:val="24"/>
        </w:rPr>
        <w:t>, S. (2013). </w:t>
      </w:r>
      <w:r w:rsidRPr="00C37C16">
        <w:rPr>
          <w:rFonts w:ascii="inherit" w:eastAsia="Times New Roman" w:hAnsi="inherit" w:cs="Times New Roman"/>
          <w:i/>
          <w:iCs/>
          <w:color w:val="000000"/>
          <w:spacing w:val="6"/>
          <w:sz w:val="24"/>
          <w:szCs w:val="24"/>
          <w:bdr w:val="none" w:sz="0" w:space="0" w:color="auto" w:frame="1"/>
        </w:rPr>
        <w:t>How Asian American women perceive and move toward leadership roles in community colleges: A study of insider counter narratives,</w:t>
      </w:r>
      <w:r w:rsidRPr="00C37C16">
        <w:rPr>
          <w:rFonts w:ascii="inherit" w:eastAsia="Times New Roman" w:hAnsi="inherit" w:cs="Times New Roman"/>
          <w:color w:val="000000"/>
          <w:spacing w:val="6"/>
          <w:sz w:val="24"/>
          <w:szCs w:val="24"/>
        </w:rPr>
        <w:t> PhD. Diss., University of Washington. </w:t>
      </w:r>
      <w:hyperlink r:id="rId22" w:history="1">
        <w:r w:rsidRPr="00C37C16">
          <w:rPr>
            <w:rFonts w:ascii="inherit" w:eastAsia="Times New Roman" w:hAnsi="inherit" w:cs="Times New Roman"/>
            <w:color w:val="018DC2"/>
            <w:spacing w:val="6"/>
            <w:sz w:val="24"/>
            <w:szCs w:val="24"/>
            <w:bdr w:val="none" w:sz="0" w:space="0" w:color="auto" w:frame="1"/>
          </w:rPr>
          <w:t>https://digital.lib.washington.edu/researchworks/handle/1773/22898</w:t>
        </w:r>
      </w:hyperlink>
    </w:p>
    <w:p w:rsidR="00C37C16" w:rsidRDefault="00C37C16" w:rsidP="00C37C16">
      <w:pPr>
        <w:shd w:val="clear" w:color="auto" w:fill="FFFFFF"/>
        <w:spacing w:after="0" w:line="240" w:lineRule="auto"/>
        <w:textAlignment w:val="baseline"/>
        <w:rPr>
          <w:rFonts w:ascii="inherit" w:eastAsia="Times New Roman" w:hAnsi="inherit" w:cs="Times New Roman"/>
          <w:color w:val="000000"/>
          <w:spacing w:val="6"/>
          <w:sz w:val="24"/>
          <w:szCs w:val="24"/>
        </w:rPr>
      </w:pPr>
    </w:p>
    <w:p w:rsidR="00C37C16" w:rsidRPr="00C37C16" w:rsidRDefault="00C37C16" w:rsidP="00C37C16">
      <w:pPr>
        <w:shd w:val="clear" w:color="auto" w:fill="FFFFFF"/>
        <w:spacing w:after="0" w:line="240" w:lineRule="auto"/>
        <w:textAlignment w:val="baseline"/>
        <w:rPr>
          <w:rFonts w:ascii="inherit" w:eastAsia="Times New Roman" w:hAnsi="inherit" w:cs="Times New Roman"/>
          <w:color w:val="000000"/>
          <w:spacing w:val="6"/>
          <w:sz w:val="24"/>
          <w:szCs w:val="24"/>
        </w:rPr>
      </w:pPr>
      <w:r w:rsidRPr="00C37C16">
        <w:rPr>
          <w:rFonts w:ascii="inherit" w:eastAsia="Times New Roman" w:hAnsi="inherit" w:cs="Times New Roman"/>
          <w:color w:val="000000"/>
          <w:spacing w:val="6"/>
          <w:sz w:val="24"/>
          <w:szCs w:val="24"/>
        </w:rPr>
        <w:t>Knight, R. (May 10, 2018). Tips for reading the room before a meeting or presentation. </w:t>
      </w:r>
      <w:r w:rsidRPr="00C37C16">
        <w:rPr>
          <w:rFonts w:ascii="inherit" w:eastAsia="Times New Roman" w:hAnsi="inherit" w:cs="Times New Roman"/>
          <w:i/>
          <w:iCs/>
          <w:color w:val="000000"/>
          <w:spacing w:val="6"/>
          <w:sz w:val="24"/>
          <w:szCs w:val="24"/>
          <w:bdr w:val="none" w:sz="0" w:space="0" w:color="auto" w:frame="1"/>
        </w:rPr>
        <w:t>Harvard Business Review, </w:t>
      </w:r>
      <w:hyperlink r:id="rId23" w:history="1">
        <w:r w:rsidRPr="00C37C16">
          <w:rPr>
            <w:rFonts w:ascii="inherit" w:eastAsia="Times New Roman" w:hAnsi="inherit" w:cs="Times New Roman"/>
            <w:color w:val="018DC2"/>
            <w:spacing w:val="6"/>
            <w:sz w:val="24"/>
            <w:szCs w:val="24"/>
            <w:bdr w:val="none" w:sz="0" w:space="0" w:color="auto" w:frame="1"/>
          </w:rPr>
          <w:t>https://hbr.org/2018/05/tips-for-reading-the-room-before-a-meeting-or-presentation</w:t>
        </w:r>
      </w:hyperlink>
    </w:p>
    <w:p w:rsidR="00C37C16" w:rsidRDefault="00C37C16" w:rsidP="00C37C16">
      <w:pPr>
        <w:shd w:val="clear" w:color="auto" w:fill="FFFFFF"/>
        <w:spacing w:after="0" w:line="240" w:lineRule="auto"/>
        <w:textAlignment w:val="baseline"/>
        <w:rPr>
          <w:rFonts w:ascii="inherit" w:eastAsia="Times New Roman" w:hAnsi="inherit" w:cs="Times New Roman"/>
          <w:color w:val="000000"/>
          <w:spacing w:val="6"/>
          <w:sz w:val="24"/>
          <w:szCs w:val="24"/>
        </w:rPr>
      </w:pPr>
    </w:p>
    <w:p w:rsidR="00C37C16" w:rsidRPr="00C37C16" w:rsidRDefault="00C37C16" w:rsidP="00C37C16">
      <w:pPr>
        <w:shd w:val="clear" w:color="auto" w:fill="FFFFFF"/>
        <w:spacing w:after="0" w:line="240" w:lineRule="auto"/>
        <w:textAlignment w:val="baseline"/>
        <w:rPr>
          <w:rFonts w:ascii="inherit" w:eastAsia="Times New Roman" w:hAnsi="inherit" w:cs="Times New Roman"/>
          <w:color w:val="000000"/>
          <w:spacing w:val="6"/>
          <w:sz w:val="24"/>
          <w:szCs w:val="24"/>
        </w:rPr>
      </w:pPr>
      <w:r w:rsidRPr="00C37C16">
        <w:rPr>
          <w:rFonts w:ascii="inherit" w:eastAsia="Times New Roman" w:hAnsi="inherit" w:cs="Times New Roman"/>
          <w:color w:val="000000"/>
          <w:spacing w:val="6"/>
          <w:sz w:val="24"/>
          <w:szCs w:val="24"/>
        </w:rPr>
        <w:t>Lorde, A. </w:t>
      </w:r>
      <w:r w:rsidRPr="00C37C16">
        <w:rPr>
          <w:rFonts w:ascii="inherit" w:eastAsia="Times New Roman" w:hAnsi="inherit" w:cs="Times New Roman"/>
          <w:i/>
          <w:iCs/>
          <w:color w:val="000000"/>
          <w:spacing w:val="6"/>
          <w:sz w:val="24"/>
          <w:szCs w:val="24"/>
          <w:bdr w:val="none" w:sz="0" w:space="0" w:color="auto" w:frame="1"/>
        </w:rPr>
        <w:t>A burst of light: Essays</w:t>
      </w:r>
      <w:r w:rsidRPr="00C37C16">
        <w:rPr>
          <w:rFonts w:ascii="inherit" w:eastAsia="Times New Roman" w:hAnsi="inherit" w:cs="Times New Roman"/>
          <w:color w:val="000000"/>
          <w:spacing w:val="6"/>
          <w:sz w:val="24"/>
          <w:szCs w:val="24"/>
        </w:rPr>
        <w:t>. New York: Firebrand, 1988, p. 131.</w:t>
      </w:r>
    </w:p>
    <w:p w:rsidR="00C37C16" w:rsidRDefault="00C37C16" w:rsidP="00C37C16">
      <w:pPr>
        <w:shd w:val="clear" w:color="auto" w:fill="FFFFFF"/>
        <w:spacing w:after="0" w:line="240" w:lineRule="auto"/>
        <w:textAlignment w:val="baseline"/>
        <w:rPr>
          <w:rFonts w:ascii="inherit" w:eastAsia="Times New Roman" w:hAnsi="inherit" w:cs="Times New Roman"/>
          <w:color w:val="000000"/>
          <w:spacing w:val="6"/>
          <w:sz w:val="24"/>
          <w:szCs w:val="24"/>
        </w:rPr>
      </w:pPr>
    </w:p>
    <w:p w:rsidR="00C37C16" w:rsidRPr="00C37C16" w:rsidRDefault="00C37C16" w:rsidP="00C37C16">
      <w:pPr>
        <w:shd w:val="clear" w:color="auto" w:fill="FFFFFF"/>
        <w:spacing w:after="0" w:line="240" w:lineRule="auto"/>
        <w:textAlignment w:val="baseline"/>
        <w:rPr>
          <w:rFonts w:ascii="inherit" w:eastAsia="Times New Roman" w:hAnsi="inherit" w:cs="Times New Roman"/>
          <w:color w:val="000000"/>
          <w:spacing w:val="6"/>
          <w:sz w:val="24"/>
          <w:szCs w:val="24"/>
        </w:rPr>
      </w:pPr>
      <w:r w:rsidRPr="00C37C16">
        <w:rPr>
          <w:rFonts w:ascii="inherit" w:eastAsia="Times New Roman" w:hAnsi="inherit" w:cs="Times New Roman"/>
          <w:color w:val="000000"/>
          <w:spacing w:val="6"/>
          <w:sz w:val="24"/>
          <w:szCs w:val="24"/>
        </w:rPr>
        <w:t>Parker-Pope, T. (Jan. 2, 2019). Four simple words to help you live well. </w:t>
      </w:r>
      <w:r w:rsidRPr="00C37C16">
        <w:rPr>
          <w:rFonts w:ascii="inherit" w:eastAsia="Times New Roman" w:hAnsi="inherit" w:cs="Times New Roman"/>
          <w:i/>
          <w:iCs/>
          <w:color w:val="000000"/>
          <w:spacing w:val="6"/>
          <w:sz w:val="24"/>
          <w:szCs w:val="24"/>
          <w:bdr w:val="none" w:sz="0" w:space="0" w:color="auto" w:frame="1"/>
        </w:rPr>
        <w:t>New York Times, </w:t>
      </w:r>
      <w:hyperlink r:id="rId24" w:history="1">
        <w:r w:rsidRPr="00C37C16">
          <w:rPr>
            <w:rFonts w:ascii="inherit" w:eastAsia="Times New Roman" w:hAnsi="inherit" w:cs="Times New Roman"/>
            <w:color w:val="018DC2"/>
            <w:spacing w:val="6"/>
            <w:sz w:val="24"/>
            <w:szCs w:val="24"/>
            <w:bdr w:val="none" w:sz="0" w:space="0" w:color="auto" w:frame="1"/>
          </w:rPr>
          <w:t>https://www.nytimes.com/2019/01/02/well/30-day-well-challenge-helping-you-live-well.html</w:t>
        </w:r>
      </w:hyperlink>
    </w:p>
    <w:p w:rsidR="00C37C16" w:rsidRDefault="00C37C16" w:rsidP="00C37C16">
      <w:pPr>
        <w:shd w:val="clear" w:color="auto" w:fill="FFFFFF"/>
        <w:spacing w:after="0" w:line="240" w:lineRule="auto"/>
        <w:textAlignment w:val="baseline"/>
        <w:rPr>
          <w:rFonts w:ascii="inherit" w:eastAsia="Times New Roman" w:hAnsi="inherit" w:cs="Times New Roman"/>
          <w:color w:val="000000"/>
          <w:spacing w:val="6"/>
          <w:sz w:val="24"/>
          <w:szCs w:val="24"/>
        </w:rPr>
      </w:pPr>
    </w:p>
    <w:p w:rsidR="00C37C16" w:rsidRPr="00C37C16" w:rsidRDefault="00C37C16" w:rsidP="00C37C16">
      <w:pPr>
        <w:shd w:val="clear" w:color="auto" w:fill="FFFFFF"/>
        <w:spacing w:after="0" w:line="240" w:lineRule="auto"/>
        <w:textAlignment w:val="baseline"/>
        <w:rPr>
          <w:rFonts w:ascii="inherit" w:eastAsia="Times New Roman" w:hAnsi="inherit" w:cs="Times New Roman"/>
          <w:color w:val="000000"/>
          <w:spacing w:val="6"/>
          <w:sz w:val="24"/>
          <w:szCs w:val="24"/>
        </w:rPr>
      </w:pPr>
      <w:proofErr w:type="spellStart"/>
      <w:r w:rsidRPr="00C37C16">
        <w:rPr>
          <w:rFonts w:ascii="inherit" w:eastAsia="Times New Roman" w:hAnsi="inherit" w:cs="Times New Roman"/>
          <w:color w:val="000000"/>
          <w:spacing w:val="6"/>
          <w:sz w:val="24"/>
          <w:szCs w:val="24"/>
        </w:rPr>
        <w:t>Ritterman</w:t>
      </w:r>
      <w:proofErr w:type="spellEnd"/>
      <w:r w:rsidRPr="00C37C16">
        <w:rPr>
          <w:rFonts w:ascii="inherit" w:eastAsia="Times New Roman" w:hAnsi="inherit" w:cs="Times New Roman"/>
          <w:color w:val="000000"/>
          <w:spacing w:val="6"/>
          <w:sz w:val="24"/>
          <w:szCs w:val="24"/>
        </w:rPr>
        <w:t>, J. (Jan. 19, 2014). The beloved community: Martin Luther King Jr.’s prescription for a healthy society. </w:t>
      </w:r>
      <w:r w:rsidRPr="00C37C16">
        <w:rPr>
          <w:rFonts w:ascii="inherit" w:eastAsia="Times New Roman" w:hAnsi="inherit" w:cs="Times New Roman"/>
          <w:i/>
          <w:iCs/>
          <w:color w:val="000000"/>
          <w:spacing w:val="6"/>
          <w:sz w:val="24"/>
          <w:szCs w:val="24"/>
          <w:bdr w:val="none" w:sz="0" w:space="0" w:color="auto" w:frame="1"/>
        </w:rPr>
        <w:t>Huffington Post, </w:t>
      </w:r>
      <w:hyperlink r:id="rId25" w:history="1">
        <w:r w:rsidRPr="00C37C16">
          <w:rPr>
            <w:rFonts w:ascii="inherit" w:eastAsia="Times New Roman" w:hAnsi="inherit" w:cs="Times New Roman"/>
            <w:color w:val="018DC2"/>
            <w:spacing w:val="6"/>
            <w:sz w:val="24"/>
            <w:szCs w:val="24"/>
            <w:bdr w:val="none" w:sz="0" w:space="0" w:color="auto" w:frame="1"/>
          </w:rPr>
          <w:t>https://www.huffpost.com/entry/the-beloved-community-dr-_b_4583249</w:t>
        </w:r>
      </w:hyperlink>
    </w:p>
    <w:p w:rsidR="00C37C16" w:rsidRDefault="00C37C16" w:rsidP="00C37C16">
      <w:pPr>
        <w:shd w:val="clear" w:color="auto" w:fill="FFFFFF"/>
        <w:spacing w:after="0" w:line="240" w:lineRule="auto"/>
        <w:textAlignment w:val="baseline"/>
        <w:rPr>
          <w:rFonts w:ascii="inherit" w:eastAsia="Times New Roman" w:hAnsi="inherit" w:cs="Times New Roman"/>
          <w:color w:val="000000"/>
          <w:spacing w:val="6"/>
          <w:sz w:val="24"/>
          <w:szCs w:val="24"/>
        </w:rPr>
      </w:pPr>
    </w:p>
    <w:p w:rsidR="00C37C16" w:rsidRPr="00C37C16" w:rsidRDefault="00C37C16" w:rsidP="00C37C16">
      <w:pPr>
        <w:shd w:val="clear" w:color="auto" w:fill="FFFFFF"/>
        <w:spacing w:after="0" w:line="240" w:lineRule="auto"/>
        <w:textAlignment w:val="baseline"/>
        <w:rPr>
          <w:rFonts w:ascii="inherit" w:eastAsia="Times New Roman" w:hAnsi="inherit" w:cs="Times New Roman"/>
          <w:color w:val="000000"/>
          <w:spacing w:val="6"/>
          <w:sz w:val="24"/>
          <w:szCs w:val="24"/>
        </w:rPr>
      </w:pPr>
      <w:proofErr w:type="spellStart"/>
      <w:r w:rsidRPr="00C37C16">
        <w:rPr>
          <w:rFonts w:ascii="inherit" w:eastAsia="Times New Roman" w:hAnsi="inherit" w:cs="Times New Roman"/>
          <w:color w:val="000000"/>
          <w:spacing w:val="6"/>
          <w:sz w:val="24"/>
          <w:szCs w:val="24"/>
        </w:rPr>
        <w:lastRenderedPageBreak/>
        <w:t>Rockquemore</w:t>
      </w:r>
      <w:proofErr w:type="spellEnd"/>
      <w:r w:rsidRPr="00C37C16">
        <w:rPr>
          <w:rFonts w:ascii="inherit" w:eastAsia="Times New Roman" w:hAnsi="inherit" w:cs="Times New Roman"/>
          <w:color w:val="000000"/>
          <w:spacing w:val="6"/>
          <w:sz w:val="24"/>
          <w:szCs w:val="24"/>
        </w:rPr>
        <w:t>, K.A. (Feb. 10, 2014). When it comes to mentoring, the more the merrier. </w:t>
      </w:r>
      <w:r w:rsidRPr="00C37C16">
        <w:rPr>
          <w:rFonts w:ascii="inherit" w:eastAsia="Times New Roman" w:hAnsi="inherit" w:cs="Times New Roman"/>
          <w:i/>
          <w:iCs/>
          <w:color w:val="000000"/>
          <w:spacing w:val="6"/>
          <w:sz w:val="24"/>
          <w:szCs w:val="24"/>
          <w:bdr w:val="none" w:sz="0" w:space="0" w:color="auto" w:frame="1"/>
        </w:rPr>
        <w:t>Chronicle of Higher Education</w:t>
      </w:r>
      <w:hyperlink r:id="rId26" w:history="1">
        <w:r w:rsidRPr="00C37C16">
          <w:rPr>
            <w:rFonts w:ascii="inherit" w:eastAsia="Times New Roman" w:hAnsi="inherit" w:cs="Times New Roman"/>
            <w:color w:val="018DC2"/>
            <w:spacing w:val="6"/>
            <w:sz w:val="24"/>
            <w:szCs w:val="24"/>
            <w:bdr w:val="none" w:sz="0" w:space="0" w:color="auto" w:frame="1"/>
          </w:rPr>
          <w:t>. https://chroniclevitae.com/news/326-when-it-comes-to-mentoring-the-more-the-merrier</w:t>
        </w:r>
      </w:hyperlink>
      <w:r w:rsidRPr="00C37C16">
        <w:rPr>
          <w:rFonts w:ascii="inherit" w:eastAsia="Times New Roman" w:hAnsi="inherit" w:cs="Times New Roman"/>
          <w:color w:val="000000"/>
          <w:spacing w:val="6"/>
          <w:sz w:val="24"/>
          <w:szCs w:val="24"/>
        </w:rPr>
        <w:t>)</w:t>
      </w:r>
    </w:p>
    <w:p w:rsidR="00C37C16" w:rsidRDefault="00C37C16" w:rsidP="00C37C16">
      <w:pPr>
        <w:shd w:val="clear" w:color="auto" w:fill="FFFFFF"/>
        <w:spacing w:after="0" w:line="240" w:lineRule="auto"/>
        <w:textAlignment w:val="baseline"/>
        <w:rPr>
          <w:rFonts w:ascii="inherit" w:eastAsia="Times New Roman" w:hAnsi="inherit" w:cs="Times New Roman"/>
          <w:color w:val="000000"/>
          <w:spacing w:val="6"/>
          <w:sz w:val="24"/>
          <w:szCs w:val="24"/>
        </w:rPr>
      </w:pPr>
    </w:p>
    <w:p w:rsidR="00C37C16" w:rsidRPr="00C37C16" w:rsidRDefault="00C37C16" w:rsidP="00C37C16">
      <w:pPr>
        <w:shd w:val="clear" w:color="auto" w:fill="FFFFFF"/>
        <w:spacing w:after="0" w:line="240" w:lineRule="auto"/>
        <w:textAlignment w:val="baseline"/>
        <w:rPr>
          <w:rFonts w:ascii="inherit" w:eastAsia="Times New Roman" w:hAnsi="inherit" w:cs="Times New Roman"/>
          <w:color w:val="000000"/>
          <w:spacing w:val="6"/>
          <w:sz w:val="24"/>
          <w:szCs w:val="24"/>
        </w:rPr>
      </w:pPr>
      <w:r w:rsidRPr="00C37C16">
        <w:rPr>
          <w:rFonts w:ascii="inherit" w:eastAsia="Times New Roman" w:hAnsi="inherit" w:cs="Times New Roman"/>
          <w:color w:val="000000"/>
          <w:spacing w:val="6"/>
          <w:sz w:val="24"/>
          <w:szCs w:val="24"/>
        </w:rPr>
        <w:t>Rowe, K. (Nov. 20, 2012). How we practice: Throwing like a girl. </w:t>
      </w:r>
      <w:r w:rsidRPr="00C37C16">
        <w:rPr>
          <w:rFonts w:ascii="inherit" w:eastAsia="Times New Roman" w:hAnsi="inherit" w:cs="Times New Roman"/>
          <w:i/>
          <w:iCs/>
          <w:color w:val="000000"/>
          <w:spacing w:val="6"/>
          <w:sz w:val="24"/>
          <w:szCs w:val="24"/>
          <w:bdr w:val="none" w:sz="0" w:space="0" w:color="auto" w:frame="1"/>
        </w:rPr>
        <w:t>Ultiworld, </w:t>
      </w:r>
      <w:hyperlink r:id="rId27" w:history="1">
        <w:r w:rsidRPr="00C37C16">
          <w:rPr>
            <w:rFonts w:ascii="inherit" w:eastAsia="Times New Roman" w:hAnsi="inherit" w:cs="Times New Roman"/>
            <w:color w:val="018DC2"/>
            <w:spacing w:val="6"/>
            <w:sz w:val="24"/>
            <w:szCs w:val="24"/>
            <w:bdr w:val="none" w:sz="0" w:space="0" w:color="auto" w:frame="1"/>
          </w:rPr>
          <w:t>https://ultiworld.com/2012/11/20/how-we-practice-throwing-like-a-girl/</w:t>
        </w:r>
      </w:hyperlink>
    </w:p>
    <w:p w:rsidR="00C37C16" w:rsidRDefault="00C37C16" w:rsidP="00C37C16">
      <w:pPr>
        <w:shd w:val="clear" w:color="auto" w:fill="FFFFFF"/>
        <w:spacing w:after="0" w:line="240" w:lineRule="auto"/>
        <w:textAlignment w:val="baseline"/>
        <w:rPr>
          <w:rFonts w:ascii="inherit" w:eastAsia="Times New Roman" w:hAnsi="inherit" w:cs="Times New Roman"/>
          <w:color w:val="000000"/>
          <w:spacing w:val="6"/>
          <w:sz w:val="24"/>
          <w:szCs w:val="24"/>
        </w:rPr>
      </w:pPr>
    </w:p>
    <w:p w:rsidR="00C37C16" w:rsidRPr="00C37C16" w:rsidRDefault="00C37C16" w:rsidP="00C37C16">
      <w:pPr>
        <w:shd w:val="clear" w:color="auto" w:fill="FFFFFF"/>
        <w:spacing w:after="0" w:line="240" w:lineRule="auto"/>
        <w:textAlignment w:val="baseline"/>
        <w:rPr>
          <w:rFonts w:ascii="inherit" w:eastAsia="Times New Roman" w:hAnsi="inherit" w:cs="Times New Roman"/>
          <w:color w:val="000000"/>
          <w:spacing w:val="6"/>
          <w:sz w:val="24"/>
          <w:szCs w:val="24"/>
        </w:rPr>
      </w:pPr>
      <w:r w:rsidRPr="00C37C16">
        <w:rPr>
          <w:rFonts w:ascii="inherit" w:eastAsia="Times New Roman" w:hAnsi="inherit" w:cs="Times New Roman"/>
          <w:color w:val="000000"/>
          <w:spacing w:val="6"/>
          <w:sz w:val="24"/>
          <w:szCs w:val="24"/>
        </w:rPr>
        <w:t>Rowe, M. (2008). Micro-affirmations and micro-inequities. </w:t>
      </w:r>
      <w:r w:rsidRPr="00C37C16">
        <w:rPr>
          <w:rFonts w:ascii="inherit" w:eastAsia="Times New Roman" w:hAnsi="inherit" w:cs="Times New Roman"/>
          <w:i/>
          <w:iCs/>
          <w:color w:val="000000"/>
          <w:spacing w:val="6"/>
          <w:sz w:val="24"/>
          <w:szCs w:val="24"/>
          <w:bdr w:val="none" w:sz="0" w:space="0" w:color="auto" w:frame="1"/>
        </w:rPr>
        <w:t>Journal of the International Ombudsman Association</w:t>
      </w:r>
      <w:r w:rsidRPr="00C37C16">
        <w:rPr>
          <w:rFonts w:ascii="inherit" w:eastAsia="Times New Roman" w:hAnsi="inherit" w:cs="Times New Roman"/>
          <w:color w:val="000000"/>
          <w:spacing w:val="6"/>
          <w:sz w:val="24"/>
          <w:szCs w:val="24"/>
        </w:rPr>
        <w:t>, 1(1), 46.</w:t>
      </w:r>
    </w:p>
    <w:p w:rsidR="00C37C16" w:rsidRDefault="00C37C16" w:rsidP="00C37C16">
      <w:pPr>
        <w:shd w:val="clear" w:color="auto" w:fill="FFFFFF"/>
        <w:spacing w:after="0" w:line="240" w:lineRule="auto"/>
        <w:textAlignment w:val="baseline"/>
        <w:rPr>
          <w:rFonts w:ascii="inherit" w:eastAsia="Times New Roman" w:hAnsi="inherit" w:cs="Times New Roman"/>
          <w:color w:val="000000"/>
          <w:spacing w:val="6"/>
          <w:sz w:val="24"/>
          <w:szCs w:val="24"/>
        </w:rPr>
      </w:pPr>
    </w:p>
    <w:p w:rsidR="00C37C16" w:rsidRPr="00C37C16" w:rsidRDefault="00C37C16" w:rsidP="00C37C16">
      <w:pPr>
        <w:shd w:val="clear" w:color="auto" w:fill="FFFFFF"/>
        <w:spacing w:after="0" w:line="240" w:lineRule="auto"/>
        <w:textAlignment w:val="baseline"/>
        <w:rPr>
          <w:rFonts w:ascii="inherit" w:eastAsia="Times New Roman" w:hAnsi="inherit" w:cs="Times New Roman"/>
          <w:color w:val="000000"/>
          <w:spacing w:val="6"/>
          <w:sz w:val="24"/>
          <w:szCs w:val="24"/>
        </w:rPr>
      </w:pPr>
      <w:r w:rsidRPr="00C37C16">
        <w:rPr>
          <w:rFonts w:ascii="inherit" w:eastAsia="Times New Roman" w:hAnsi="inherit" w:cs="Times New Roman"/>
          <w:color w:val="000000"/>
          <w:spacing w:val="6"/>
          <w:sz w:val="24"/>
          <w:szCs w:val="24"/>
        </w:rPr>
        <w:t xml:space="preserve">Suárez-Orozco, C. et al. (2015). Toxic rain in class: Classroom interpersonal </w:t>
      </w:r>
      <w:proofErr w:type="spellStart"/>
      <w:r w:rsidRPr="00C37C16">
        <w:rPr>
          <w:rFonts w:ascii="inherit" w:eastAsia="Times New Roman" w:hAnsi="inherit" w:cs="Times New Roman"/>
          <w:color w:val="000000"/>
          <w:spacing w:val="6"/>
          <w:sz w:val="24"/>
          <w:szCs w:val="24"/>
        </w:rPr>
        <w:t>microaggressions</w:t>
      </w:r>
      <w:proofErr w:type="spellEnd"/>
      <w:r w:rsidRPr="00C37C16">
        <w:rPr>
          <w:rFonts w:ascii="inherit" w:eastAsia="Times New Roman" w:hAnsi="inherit" w:cs="Times New Roman"/>
          <w:color w:val="000000"/>
          <w:spacing w:val="6"/>
          <w:sz w:val="24"/>
          <w:szCs w:val="24"/>
        </w:rPr>
        <w:t>. </w:t>
      </w:r>
      <w:r w:rsidRPr="00C37C16">
        <w:rPr>
          <w:rFonts w:ascii="inherit" w:eastAsia="Times New Roman" w:hAnsi="inherit" w:cs="Times New Roman"/>
          <w:i/>
          <w:iCs/>
          <w:color w:val="000000"/>
          <w:spacing w:val="6"/>
          <w:sz w:val="24"/>
          <w:szCs w:val="24"/>
          <w:bdr w:val="none" w:sz="0" w:space="0" w:color="auto" w:frame="1"/>
        </w:rPr>
        <w:t>Educational Researcher</w:t>
      </w:r>
      <w:r w:rsidRPr="00C37C16">
        <w:rPr>
          <w:rFonts w:ascii="inherit" w:eastAsia="Times New Roman" w:hAnsi="inherit" w:cs="Times New Roman"/>
          <w:color w:val="000000"/>
          <w:spacing w:val="6"/>
          <w:sz w:val="24"/>
          <w:szCs w:val="24"/>
        </w:rPr>
        <w:t> 44(3), 151.</w:t>
      </w:r>
    </w:p>
    <w:p w:rsidR="00C37C16" w:rsidRDefault="00C37C16" w:rsidP="00C37C16">
      <w:pPr>
        <w:shd w:val="clear" w:color="auto" w:fill="FFFFFF"/>
        <w:spacing w:after="0" w:line="240" w:lineRule="auto"/>
        <w:textAlignment w:val="baseline"/>
        <w:rPr>
          <w:rFonts w:ascii="inherit" w:eastAsia="Times New Roman" w:hAnsi="inherit" w:cs="Times New Roman"/>
          <w:color w:val="000000"/>
          <w:spacing w:val="6"/>
          <w:sz w:val="24"/>
          <w:szCs w:val="24"/>
        </w:rPr>
      </w:pPr>
    </w:p>
    <w:p w:rsidR="00C37C16" w:rsidRPr="00C37C16" w:rsidRDefault="00C37C16" w:rsidP="00C37C16">
      <w:pPr>
        <w:shd w:val="clear" w:color="auto" w:fill="FFFFFF"/>
        <w:spacing w:after="0" w:line="240" w:lineRule="auto"/>
        <w:textAlignment w:val="baseline"/>
        <w:rPr>
          <w:rFonts w:ascii="inherit" w:eastAsia="Times New Roman" w:hAnsi="inherit" w:cs="Times New Roman"/>
          <w:color w:val="000000"/>
          <w:spacing w:val="6"/>
          <w:sz w:val="24"/>
          <w:szCs w:val="24"/>
        </w:rPr>
      </w:pPr>
      <w:r w:rsidRPr="00C37C16">
        <w:rPr>
          <w:rFonts w:ascii="inherit" w:eastAsia="Times New Roman" w:hAnsi="inherit" w:cs="Times New Roman"/>
          <w:color w:val="000000"/>
          <w:spacing w:val="6"/>
          <w:sz w:val="24"/>
          <w:szCs w:val="24"/>
        </w:rPr>
        <w:t xml:space="preserve">Sue, D.W. et al. (May-Jun 2007). Racial </w:t>
      </w:r>
      <w:proofErr w:type="spellStart"/>
      <w:r w:rsidRPr="00C37C16">
        <w:rPr>
          <w:rFonts w:ascii="inherit" w:eastAsia="Times New Roman" w:hAnsi="inherit" w:cs="Times New Roman"/>
          <w:color w:val="000000"/>
          <w:spacing w:val="6"/>
          <w:sz w:val="24"/>
          <w:szCs w:val="24"/>
        </w:rPr>
        <w:t>microaggressions</w:t>
      </w:r>
      <w:proofErr w:type="spellEnd"/>
      <w:r w:rsidRPr="00C37C16">
        <w:rPr>
          <w:rFonts w:ascii="inherit" w:eastAsia="Times New Roman" w:hAnsi="inherit" w:cs="Times New Roman"/>
          <w:color w:val="000000"/>
          <w:spacing w:val="6"/>
          <w:sz w:val="24"/>
          <w:szCs w:val="24"/>
        </w:rPr>
        <w:t xml:space="preserve"> in everyday life: implications for clinical practice. </w:t>
      </w:r>
      <w:r w:rsidRPr="00C37C16">
        <w:rPr>
          <w:rFonts w:ascii="inherit" w:eastAsia="Times New Roman" w:hAnsi="inherit" w:cs="Times New Roman"/>
          <w:i/>
          <w:iCs/>
          <w:color w:val="000000"/>
          <w:spacing w:val="6"/>
          <w:sz w:val="24"/>
          <w:szCs w:val="24"/>
          <w:bdr w:val="none" w:sz="0" w:space="0" w:color="auto" w:frame="1"/>
        </w:rPr>
        <w:t>American Psychology</w:t>
      </w:r>
      <w:r w:rsidRPr="00C37C16">
        <w:rPr>
          <w:rFonts w:ascii="inherit" w:eastAsia="Times New Roman" w:hAnsi="inherit" w:cs="Times New Roman"/>
          <w:color w:val="000000"/>
          <w:spacing w:val="6"/>
          <w:sz w:val="24"/>
          <w:szCs w:val="24"/>
        </w:rPr>
        <w:t>, 62(4), 271.</w:t>
      </w:r>
    </w:p>
    <w:p w:rsidR="00C37C16" w:rsidRDefault="00C37C16" w:rsidP="00C37C16">
      <w:pPr>
        <w:shd w:val="clear" w:color="auto" w:fill="FFFFFF"/>
        <w:spacing w:after="0" w:line="240" w:lineRule="auto"/>
        <w:textAlignment w:val="baseline"/>
        <w:rPr>
          <w:rFonts w:ascii="inherit" w:eastAsia="Times New Roman" w:hAnsi="inherit" w:cs="Times New Roman"/>
          <w:color w:val="000000"/>
          <w:spacing w:val="6"/>
          <w:sz w:val="24"/>
          <w:szCs w:val="24"/>
        </w:rPr>
      </w:pPr>
    </w:p>
    <w:p w:rsidR="00C37C16" w:rsidRPr="00C37C16" w:rsidRDefault="00C37C16" w:rsidP="00C37C16">
      <w:pPr>
        <w:shd w:val="clear" w:color="auto" w:fill="FFFFFF"/>
        <w:spacing w:after="0" w:line="240" w:lineRule="auto"/>
        <w:textAlignment w:val="baseline"/>
        <w:rPr>
          <w:rFonts w:ascii="inherit" w:eastAsia="Times New Roman" w:hAnsi="inherit" w:cs="Times New Roman"/>
          <w:color w:val="000000"/>
          <w:spacing w:val="6"/>
          <w:sz w:val="24"/>
          <w:szCs w:val="24"/>
        </w:rPr>
      </w:pPr>
      <w:r w:rsidRPr="00C37C16">
        <w:rPr>
          <w:rFonts w:ascii="inherit" w:eastAsia="Times New Roman" w:hAnsi="inherit" w:cs="Times New Roman"/>
          <w:color w:val="000000"/>
          <w:spacing w:val="6"/>
          <w:sz w:val="24"/>
          <w:szCs w:val="24"/>
        </w:rPr>
        <w:t>Tutu, D. (</w:t>
      </w:r>
      <w:proofErr w:type="spellStart"/>
      <w:r w:rsidRPr="00C37C16">
        <w:rPr>
          <w:rFonts w:ascii="inherit" w:eastAsia="Times New Roman" w:hAnsi="inherit" w:cs="Times New Roman"/>
          <w:color w:val="000000"/>
          <w:spacing w:val="6"/>
          <w:sz w:val="24"/>
          <w:szCs w:val="24"/>
        </w:rPr>
        <w:t>n.d.</w:t>
      </w:r>
      <w:proofErr w:type="spellEnd"/>
      <w:r w:rsidRPr="00C37C16">
        <w:rPr>
          <w:rFonts w:ascii="inherit" w:eastAsia="Times New Roman" w:hAnsi="inherit" w:cs="Times New Roman"/>
          <w:color w:val="000000"/>
          <w:spacing w:val="6"/>
          <w:sz w:val="24"/>
          <w:szCs w:val="24"/>
        </w:rPr>
        <w:t>). BrainyQuote. </w:t>
      </w:r>
      <w:hyperlink r:id="rId28" w:history="1">
        <w:r w:rsidRPr="00C37C16">
          <w:rPr>
            <w:rFonts w:ascii="inherit" w:eastAsia="Times New Roman" w:hAnsi="inherit" w:cs="Times New Roman"/>
            <w:color w:val="018DC2"/>
            <w:spacing w:val="6"/>
            <w:sz w:val="24"/>
            <w:szCs w:val="24"/>
            <w:bdr w:val="none" w:sz="0" w:space="0" w:color="auto" w:frame="1"/>
          </w:rPr>
          <w:t>https://www.brainyquote.com/quotes/desmond_tutu_387490</w:t>
        </w:r>
      </w:hyperlink>
    </w:p>
    <w:p w:rsidR="00C37C16" w:rsidRPr="00C37C16" w:rsidRDefault="00C37C16" w:rsidP="00C37C16">
      <w:pPr>
        <w:shd w:val="clear" w:color="auto" w:fill="FFFFFF"/>
        <w:spacing w:before="100" w:beforeAutospacing="1" w:after="100" w:afterAutospacing="1" w:line="0" w:lineRule="auto"/>
        <w:ind w:left="720"/>
        <w:textAlignment w:val="baseline"/>
        <w:rPr>
          <w:rFonts w:ascii="inherit" w:eastAsia="Times New Roman" w:hAnsi="inherit" w:cs="Tahoma"/>
          <w:color w:val="000000"/>
          <w:spacing w:val="6"/>
          <w:sz w:val="21"/>
          <w:szCs w:val="21"/>
        </w:rPr>
      </w:pPr>
    </w:p>
    <w:p w:rsidR="00C37C16" w:rsidRPr="00C37C16" w:rsidRDefault="00C37C16" w:rsidP="00C37C16">
      <w:pPr>
        <w:numPr>
          <w:ilvl w:val="0"/>
          <w:numId w:val="3"/>
        </w:numPr>
        <w:shd w:val="clear" w:color="auto" w:fill="FFFFFF"/>
        <w:spacing w:before="100" w:beforeAutospacing="1" w:after="100" w:afterAutospacing="1" w:line="0" w:lineRule="auto"/>
        <w:ind w:firstLine="0"/>
        <w:textAlignment w:val="baseline"/>
        <w:rPr>
          <w:rFonts w:ascii="inherit" w:eastAsia="Times New Roman" w:hAnsi="inherit" w:cs="Tahoma"/>
          <w:color w:val="000000"/>
          <w:spacing w:val="6"/>
          <w:sz w:val="21"/>
          <w:szCs w:val="21"/>
        </w:rPr>
      </w:pPr>
    </w:p>
    <w:p w:rsidR="00C37C16" w:rsidRPr="00C37C16" w:rsidRDefault="00C37C16" w:rsidP="00C37C16">
      <w:pPr>
        <w:numPr>
          <w:ilvl w:val="0"/>
          <w:numId w:val="3"/>
        </w:numPr>
        <w:shd w:val="clear" w:color="auto" w:fill="FFFFFF"/>
        <w:spacing w:before="100" w:beforeAutospacing="1" w:after="100" w:afterAutospacing="1" w:line="0" w:lineRule="auto"/>
        <w:ind w:firstLine="0"/>
        <w:textAlignment w:val="baseline"/>
        <w:rPr>
          <w:rFonts w:ascii="inherit" w:eastAsia="Times New Roman" w:hAnsi="inherit" w:cs="Tahoma"/>
          <w:color w:val="000000"/>
          <w:spacing w:val="6"/>
          <w:sz w:val="21"/>
          <w:szCs w:val="21"/>
        </w:rPr>
      </w:pPr>
      <w:r w:rsidRPr="00C37C16">
        <w:rPr>
          <w:rFonts w:ascii="inherit" w:eastAsia="Times New Roman" w:hAnsi="inherit" w:cs="Tahoma"/>
          <w:color w:val="000000"/>
          <w:spacing w:val="6"/>
          <w:sz w:val="21"/>
          <w:szCs w:val="21"/>
          <w:bdr w:val="single" w:sz="2" w:space="0" w:color="CCCCCC" w:frame="1"/>
        </w:rPr>
        <w:t>2</w:t>
      </w:r>
    </w:p>
    <w:p w:rsidR="00C37C16" w:rsidRPr="00C37C16" w:rsidRDefault="00C37C16" w:rsidP="00C37C16">
      <w:pPr>
        <w:numPr>
          <w:ilvl w:val="0"/>
          <w:numId w:val="3"/>
        </w:numPr>
        <w:shd w:val="clear" w:color="auto" w:fill="FFFFFF"/>
        <w:spacing w:before="100" w:beforeAutospacing="1" w:after="100" w:afterAutospacing="1" w:line="0" w:lineRule="auto"/>
        <w:ind w:firstLine="0"/>
        <w:textAlignment w:val="baseline"/>
        <w:rPr>
          <w:rFonts w:ascii="inherit" w:eastAsia="Times New Roman" w:hAnsi="inherit" w:cs="Tahoma"/>
          <w:color w:val="000000"/>
          <w:spacing w:val="6"/>
          <w:sz w:val="21"/>
          <w:szCs w:val="21"/>
        </w:rPr>
      </w:pPr>
    </w:p>
    <w:p w:rsidR="00C37C16" w:rsidRPr="00C37C16" w:rsidRDefault="00C37C16" w:rsidP="00C37C16">
      <w:pPr>
        <w:numPr>
          <w:ilvl w:val="0"/>
          <w:numId w:val="3"/>
        </w:numPr>
        <w:shd w:val="clear" w:color="auto" w:fill="FFFFFF"/>
        <w:spacing w:before="100" w:beforeAutospacing="1" w:after="100" w:afterAutospacing="1" w:line="0" w:lineRule="auto"/>
        <w:ind w:firstLine="0"/>
        <w:textAlignment w:val="baseline"/>
        <w:rPr>
          <w:rFonts w:ascii="inherit" w:eastAsia="Times New Roman" w:hAnsi="inherit" w:cs="Tahoma"/>
          <w:color w:val="000000"/>
          <w:spacing w:val="6"/>
          <w:sz w:val="21"/>
          <w:szCs w:val="21"/>
        </w:rPr>
      </w:pPr>
    </w:p>
    <w:p w:rsidR="004E39A8" w:rsidRDefault="00A11CA7"/>
    <w:sectPr w:rsidR="004E3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legreya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D3114"/>
    <w:multiLevelType w:val="multilevel"/>
    <w:tmpl w:val="F966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983D3E"/>
    <w:multiLevelType w:val="multilevel"/>
    <w:tmpl w:val="44D8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62449F"/>
    <w:multiLevelType w:val="multilevel"/>
    <w:tmpl w:val="B744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C16"/>
    <w:rsid w:val="00674517"/>
    <w:rsid w:val="00A11CA7"/>
    <w:rsid w:val="00BB2B7A"/>
    <w:rsid w:val="00C3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50ABC-5361-4F56-8776-AE456C36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7C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37C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C1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37C16"/>
    <w:rPr>
      <w:rFonts w:ascii="Times New Roman" w:eastAsia="Times New Roman" w:hAnsi="Times New Roman" w:cs="Times New Roman"/>
      <w:b/>
      <w:bCs/>
      <w:sz w:val="36"/>
      <w:szCs w:val="36"/>
    </w:rPr>
  </w:style>
  <w:style w:type="character" w:customStyle="1" w:styleId="elementor-icon-list-text">
    <w:name w:val="elementor-icon-list-text"/>
    <w:basedOn w:val="DefaultParagraphFont"/>
    <w:rsid w:val="00C37C16"/>
  </w:style>
  <w:style w:type="character" w:styleId="Hyperlink">
    <w:name w:val="Hyperlink"/>
    <w:basedOn w:val="DefaultParagraphFont"/>
    <w:uiPriority w:val="99"/>
    <w:unhideWhenUsed/>
    <w:rsid w:val="00C37C16"/>
    <w:rPr>
      <w:color w:val="0000FF"/>
      <w:u w:val="single"/>
    </w:rPr>
  </w:style>
  <w:style w:type="paragraph" w:customStyle="1" w:styleId="has-drop-cap">
    <w:name w:val="has-drop-cap"/>
    <w:basedOn w:val="Normal"/>
    <w:rsid w:val="00C37C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37C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7C16"/>
    <w:rPr>
      <w:b/>
      <w:bCs/>
    </w:rPr>
  </w:style>
  <w:style w:type="character" w:styleId="Emphasis">
    <w:name w:val="Emphasis"/>
    <w:basedOn w:val="DefaultParagraphFont"/>
    <w:uiPriority w:val="20"/>
    <w:qFormat/>
    <w:rsid w:val="00C37C16"/>
    <w:rPr>
      <w:i/>
      <w:iCs/>
    </w:rPr>
  </w:style>
  <w:style w:type="character" w:customStyle="1" w:styleId="shareaholic-share-button-counter">
    <w:name w:val="shareaholic-share-button-counter"/>
    <w:basedOn w:val="DefaultParagraphFont"/>
    <w:rsid w:val="00C37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805380">
      <w:bodyDiv w:val="1"/>
      <w:marLeft w:val="0"/>
      <w:marRight w:val="0"/>
      <w:marTop w:val="0"/>
      <w:marBottom w:val="0"/>
      <w:divBdr>
        <w:top w:val="none" w:sz="0" w:space="0" w:color="auto"/>
        <w:left w:val="none" w:sz="0" w:space="0" w:color="auto"/>
        <w:bottom w:val="none" w:sz="0" w:space="0" w:color="auto"/>
        <w:right w:val="none" w:sz="0" w:space="0" w:color="auto"/>
      </w:divBdr>
      <w:divsChild>
        <w:div w:id="436947025">
          <w:marLeft w:val="0"/>
          <w:marRight w:val="0"/>
          <w:marTop w:val="0"/>
          <w:marBottom w:val="300"/>
          <w:divBdr>
            <w:top w:val="none" w:sz="0" w:space="0" w:color="auto"/>
            <w:left w:val="none" w:sz="0" w:space="0" w:color="auto"/>
            <w:bottom w:val="none" w:sz="0" w:space="0" w:color="auto"/>
            <w:right w:val="none" w:sz="0" w:space="0" w:color="auto"/>
          </w:divBdr>
          <w:divsChild>
            <w:div w:id="1475947831">
              <w:marLeft w:val="0"/>
              <w:marRight w:val="0"/>
              <w:marTop w:val="0"/>
              <w:marBottom w:val="0"/>
              <w:divBdr>
                <w:top w:val="none" w:sz="0" w:space="0" w:color="auto"/>
                <w:left w:val="none" w:sz="0" w:space="0" w:color="auto"/>
                <w:bottom w:val="none" w:sz="0" w:space="0" w:color="auto"/>
                <w:right w:val="none" w:sz="0" w:space="0" w:color="auto"/>
              </w:divBdr>
            </w:div>
          </w:divsChild>
        </w:div>
        <w:div w:id="77750062">
          <w:marLeft w:val="0"/>
          <w:marRight w:val="0"/>
          <w:marTop w:val="0"/>
          <w:marBottom w:val="300"/>
          <w:divBdr>
            <w:top w:val="none" w:sz="0" w:space="0" w:color="auto"/>
            <w:left w:val="none" w:sz="0" w:space="0" w:color="auto"/>
            <w:bottom w:val="none" w:sz="0" w:space="0" w:color="auto"/>
            <w:right w:val="none" w:sz="0" w:space="0" w:color="auto"/>
          </w:divBdr>
          <w:divsChild>
            <w:div w:id="986007534">
              <w:marLeft w:val="0"/>
              <w:marRight w:val="0"/>
              <w:marTop w:val="0"/>
              <w:marBottom w:val="0"/>
              <w:divBdr>
                <w:top w:val="none" w:sz="0" w:space="0" w:color="auto"/>
                <w:left w:val="none" w:sz="0" w:space="0" w:color="auto"/>
                <w:bottom w:val="none" w:sz="0" w:space="0" w:color="auto"/>
                <w:right w:val="none" w:sz="0" w:space="0" w:color="auto"/>
              </w:divBdr>
            </w:div>
          </w:divsChild>
        </w:div>
        <w:div w:id="326518615">
          <w:marLeft w:val="0"/>
          <w:marRight w:val="0"/>
          <w:marTop w:val="0"/>
          <w:marBottom w:val="300"/>
          <w:divBdr>
            <w:top w:val="none" w:sz="0" w:space="0" w:color="auto"/>
            <w:left w:val="none" w:sz="0" w:space="0" w:color="auto"/>
            <w:bottom w:val="none" w:sz="0" w:space="0" w:color="auto"/>
            <w:right w:val="none" w:sz="0" w:space="0" w:color="auto"/>
          </w:divBdr>
          <w:divsChild>
            <w:div w:id="2119906695">
              <w:marLeft w:val="0"/>
              <w:marRight w:val="0"/>
              <w:marTop w:val="0"/>
              <w:marBottom w:val="150"/>
              <w:divBdr>
                <w:top w:val="none" w:sz="0" w:space="0" w:color="auto"/>
                <w:left w:val="none" w:sz="0" w:space="0" w:color="auto"/>
                <w:bottom w:val="none" w:sz="0" w:space="0" w:color="auto"/>
                <w:right w:val="none" w:sz="0" w:space="0" w:color="auto"/>
              </w:divBdr>
              <w:divsChild>
                <w:div w:id="1732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4007">
          <w:marLeft w:val="0"/>
          <w:marRight w:val="0"/>
          <w:marTop w:val="0"/>
          <w:marBottom w:val="300"/>
          <w:divBdr>
            <w:top w:val="none" w:sz="0" w:space="0" w:color="auto"/>
            <w:left w:val="none" w:sz="0" w:space="0" w:color="auto"/>
            <w:bottom w:val="none" w:sz="0" w:space="0" w:color="auto"/>
            <w:right w:val="none" w:sz="0" w:space="0" w:color="auto"/>
          </w:divBdr>
          <w:divsChild>
            <w:div w:id="1353411772">
              <w:marLeft w:val="0"/>
              <w:marRight w:val="0"/>
              <w:marTop w:val="0"/>
              <w:marBottom w:val="0"/>
              <w:divBdr>
                <w:top w:val="none" w:sz="0" w:space="0" w:color="auto"/>
                <w:left w:val="none" w:sz="0" w:space="0" w:color="auto"/>
                <w:bottom w:val="none" w:sz="0" w:space="0" w:color="auto"/>
                <w:right w:val="none" w:sz="0" w:space="0" w:color="auto"/>
              </w:divBdr>
              <w:divsChild>
                <w:div w:id="322583999">
                  <w:marLeft w:val="0"/>
                  <w:marRight w:val="0"/>
                  <w:marTop w:val="0"/>
                  <w:marBottom w:val="0"/>
                  <w:divBdr>
                    <w:top w:val="none" w:sz="0" w:space="0" w:color="auto"/>
                    <w:left w:val="none" w:sz="0" w:space="0" w:color="auto"/>
                    <w:bottom w:val="none" w:sz="0" w:space="0" w:color="auto"/>
                    <w:right w:val="none" w:sz="0" w:space="0" w:color="auto"/>
                  </w:divBdr>
                  <w:divsChild>
                    <w:div w:id="215632671">
                      <w:marLeft w:val="0"/>
                      <w:marRight w:val="0"/>
                      <w:marTop w:val="0"/>
                      <w:marBottom w:val="0"/>
                      <w:divBdr>
                        <w:top w:val="none" w:sz="0" w:space="0" w:color="auto"/>
                        <w:left w:val="none" w:sz="0" w:space="0" w:color="auto"/>
                        <w:bottom w:val="none" w:sz="0" w:space="0" w:color="auto"/>
                        <w:right w:val="none" w:sz="0" w:space="0" w:color="auto"/>
                      </w:divBdr>
                      <w:divsChild>
                        <w:div w:id="167615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ultyfocus.com/articles/academic-leadership/microresistance-as-a-way-to-respond-to-microaggressions-on-zoom-and-in-real-life/" TargetMode="External"/><Relationship Id="rId13" Type="http://schemas.openxmlformats.org/officeDocument/2006/relationships/hyperlink" Target="https://hbr.org/2018/05/tips-for-reading-the-room-before-a-meeting-or-presentation" TargetMode="External"/><Relationship Id="rId18" Type="http://schemas.openxmlformats.org/officeDocument/2006/relationships/hyperlink" Target="https://ultiworld.com/2012/11/20/how-we-practice-throwing-like-a-girl/" TargetMode="External"/><Relationship Id="rId26" Type="http://schemas.openxmlformats.org/officeDocument/2006/relationships/hyperlink" Target="https://chroniclevitae.com/news/326-when-it-comes-to-mentoring-the-more-the-merrier" TargetMode="External"/><Relationship Id="rId3" Type="http://schemas.openxmlformats.org/officeDocument/2006/relationships/settings" Target="settings.xml"/><Relationship Id="rId21" Type="http://schemas.openxmlformats.org/officeDocument/2006/relationships/hyperlink" Target="https://podnetwork.org/content/uploads/DC-white-paper-2016_Final2.pdf" TargetMode="External"/><Relationship Id="rId7" Type="http://schemas.openxmlformats.org/officeDocument/2006/relationships/hyperlink" Target="https://www.brainyquote.com/quotes/desmond_tutu_387490" TargetMode="External"/><Relationship Id="rId12" Type="http://schemas.openxmlformats.org/officeDocument/2006/relationships/hyperlink" Target="https://twitter.com/josebowen/status/1204426544539734018" TargetMode="External"/><Relationship Id="rId17" Type="http://schemas.openxmlformats.org/officeDocument/2006/relationships/hyperlink" Target="https://mitsloan.mit.edu/shared/ods/documents/?PublicationDocumentID=5404" TargetMode="External"/><Relationship Id="rId25" Type="http://schemas.openxmlformats.org/officeDocument/2006/relationships/hyperlink" Target="https://www.huffpost.com/entry/the-beloved-community-dr-_b_4583249" TargetMode="External"/><Relationship Id="rId2" Type="http://schemas.openxmlformats.org/officeDocument/2006/relationships/styles" Target="styles.xml"/><Relationship Id="rId16" Type="http://schemas.openxmlformats.org/officeDocument/2006/relationships/hyperlink" Target="https://scholarworks.smith.edu/eng_facpubs/3/" TargetMode="External"/><Relationship Id="rId20" Type="http://schemas.openxmlformats.org/officeDocument/2006/relationships/hyperlink" Target="https://twitter.com/josebowen/status/120442654453973401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nytimes.com/2019/01/02/well/30-day-well-challenge-helping-you-live-well.html" TargetMode="External"/><Relationship Id="rId24" Type="http://schemas.openxmlformats.org/officeDocument/2006/relationships/hyperlink" Target="https://www.nytimes.com/2019/01/02/well/30-day-well-challenge-helping-you-live-well.html" TargetMode="External"/><Relationship Id="rId5" Type="http://schemas.openxmlformats.org/officeDocument/2006/relationships/hyperlink" Target="https://www.facultyfocus.com/author/ff-floydcheung/" TargetMode="External"/><Relationship Id="rId15" Type="http://schemas.openxmlformats.org/officeDocument/2006/relationships/hyperlink" Target="https://community.chronicle.com/news/326-when-it-comes-to-mentoring-the-more-the-merrier" TargetMode="External"/><Relationship Id="rId23" Type="http://schemas.openxmlformats.org/officeDocument/2006/relationships/hyperlink" Target="https://hbr.org/2018/05/tips-for-reading-the-room-before-a-meeting-or-presentation" TargetMode="External"/><Relationship Id="rId28" Type="http://schemas.openxmlformats.org/officeDocument/2006/relationships/hyperlink" Target="https://www.brainyquote.com/quotes/desmond_tutu_387490" TargetMode="External"/><Relationship Id="rId10" Type="http://schemas.openxmlformats.org/officeDocument/2006/relationships/hyperlink" Target="https://asu.pure.elsevier.com/en/publications/toxic-rain-in-class-classroom-interpersonal-microaggressions" TargetMode="External"/><Relationship Id="rId19" Type="http://schemas.openxmlformats.org/officeDocument/2006/relationships/hyperlink" Target="https://www.huffpost.com/entry/the-beloved-community-dr-_b_4583249" TargetMode="External"/><Relationship Id="rId4" Type="http://schemas.openxmlformats.org/officeDocument/2006/relationships/webSettings" Target="webSettings.xml"/><Relationship Id="rId9" Type="http://schemas.openxmlformats.org/officeDocument/2006/relationships/hyperlink" Target="https://www.akpress.org/catalog/product/view/id/3259/s/aburstoflight/category/6/" TargetMode="External"/><Relationship Id="rId14" Type="http://schemas.openxmlformats.org/officeDocument/2006/relationships/hyperlink" Target="https://www.insidehighered.com/sites/default/server_files/files/Post%20Occupancy%20Whitepaper%20FINAL.pdf" TargetMode="External"/><Relationship Id="rId22" Type="http://schemas.openxmlformats.org/officeDocument/2006/relationships/hyperlink" Target="https://digital.lib.washington.edu/researchworks/handle/1773/22898" TargetMode="External"/><Relationship Id="rId27" Type="http://schemas.openxmlformats.org/officeDocument/2006/relationships/hyperlink" Target="https://ultiworld.com/2012/11/20/how-we-practice-throwing-like-a-gir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Balachowski</dc:creator>
  <cp:keywords/>
  <dc:description/>
  <cp:lastModifiedBy>Peg Balachowski</cp:lastModifiedBy>
  <cp:revision>2</cp:revision>
  <dcterms:created xsi:type="dcterms:W3CDTF">2021-06-28T18:27:00Z</dcterms:created>
  <dcterms:modified xsi:type="dcterms:W3CDTF">2021-06-28T18:32:00Z</dcterms:modified>
</cp:coreProperties>
</file>